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西南医科大学</w:t>
      </w:r>
    </w:p>
    <w:p>
      <w:pPr>
        <w:jc w:val="center"/>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val="en-US" w:eastAsia="zh-CN"/>
        </w:rPr>
        <w:t>2019年</w:t>
      </w:r>
      <w:r>
        <w:rPr>
          <w:rFonts w:hint="eastAsia" w:asciiTheme="majorEastAsia" w:hAnsiTheme="majorEastAsia" w:eastAsiaTheme="majorEastAsia" w:cstheme="majorEastAsia"/>
          <w:b/>
          <w:bCs/>
          <w:sz w:val="36"/>
          <w:szCs w:val="36"/>
        </w:rPr>
        <w:t>诚聘海内外英才</w:t>
      </w:r>
    </w:p>
    <w:p>
      <w:pPr>
        <w:spacing w:line="540" w:lineRule="exact"/>
        <w:ind w:firstLine="560" w:firstLineChars="2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西南医科大学是四川省省属普通高等院校，坐落在川滇黔渝结合部的泸州。泸州，是“国家历史文化名城”“全国双拥模范城”“国家卫生城市”“中国优秀旅游城市”“国家森林城市”“国家园林城市”“全国文明城市”。</w:t>
      </w:r>
    </w:p>
    <w:p>
      <w:pPr>
        <w:spacing w:line="540" w:lineRule="exact"/>
        <w:ind w:firstLine="57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西南医科大学以医学为主，理学、管理学、法学等多学科协调发展。现有硕士学位一级学科授权点7个，专业学位9个，省部级重点学科7个；有30个普通本科专业，其中国家级特色专业3个，本科第一批次招生专业13个，双学位专业5个；是国家第一批“卓越医生教育培养计划项目” “临床医学专业综合改革” “临床医学硕士专业学位研究生培养模式改革”试点高校；是四川省卓越法律人才教育培养计划示范性实践教学基地；是“四川2011心血管疾病防治协同创新中心”牵头单位</w:t>
      </w:r>
      <w:r>
        <w:rPr>
          <w:rFonts w:hint="eastAsia" w:asciiTheme="majorEastAsia" w:hAnsiTheme="majorEastAsia" w:eastAsiaTheme="majorEastAsia" w:cstheme="majorEastAsia"/>
          <w:sz w:val="28"/>
          <w:szCs w:val="28"/>
          <w:lang w:eastAsia="zh-CN"/>
        </w:rPr>
        <w:t>。</w:t>
      </w:r>
      <w:r>
        <w:rPr>
          <w:rFonts w:hint="eastAsia" w:asciiTheme="majorEastAsia" w:hAnsiTheme="majorEastAsia" w:eastAsiaTheme="majorEastAsia" w:cstheme="majorEastAsia"/>
          <w:sz w:val="28"/>
          <w:szCs w:val="28"/>
          <w:lang w:val="en-US" w:eastAsia="zh-CN"/>
        </w:rPr>
        <w:t>学校现有教育部重点实验室、国家级博士后科研工作站、国家药物临床试验机构（GCP）、四川省科技厅重点实验室、省级院士工作站等14个省部级重点科研平台，有省级大学科技园1个，省、厅级科研团队18个，有三所直属三甲附属医院</w:t>
      </w:r>
      <w:r>
        <w:rPr>
          <w:rFonts w:hint="eastAsia" w:asciiTheme="majorEastAsia" w:hAnsiTheme="majorEastAsia" w:eastAsiaTheme="majorEastAsia" w:cstheme="majorEastAsia"/>
          <w:sz w:val="28"/>
          <w:szCs w:val="28"/>
        </w:rPr>
        <w:t>（具体信息可查阅我校官网）。</w:t>
      </w:r>
    </w:p>
    <w:p>
      <w:pPr>
        <w:spacing w:line="540" w:lineRule="exact"/>
        <w:ind w:firstLine="560" w:firstLineChars="2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现面向海内外诚聘各类</w:t>
      </w:r>
      <w:r>
        <w:rPr>
          <w:rFonts w:hint="eastAsia" w:asciiTheme="majorEastAsia" w:hAnsiTheme="majorEastAsia" w:eastAsiaTheme="majorEastAsia" w:cstheme="majorEastAsia"/>
          <w:b/>
          <w:bCs/>
          <w:sz w:val="28"/>
          <w:szCs w:val="28"/>
          <w:u w:val="single"/>
          <w:lang w:eastAsia="zh-CN"/>
        </w:rPr>
        <w:t>博士</w:t>
      </w:r>
      <w:r>
        <w:rPr>
          <w:rFonts w:hint="eastAsia" w:asciiTheme="majorEastAsia" w:hAnsiTheme="majorEastAsia" w:eastAsiaTheme="majorEastAsia" w:cstheme="majorEastAsia"/>
          <w:sz w:val="28"/>
          <w:szCs w:val="28"/>
        </w:rPr>
        <w:t>英才</w:t>
      </w:r>
      <w:r>
        <w:rPr>
          <w:rFonts w:hint="eastAsia" w:asciiTheme="majorEastAsia" w:hAnsiTheme="majorEastAsia" w:eastAsiaTheme="majorEastAsia" w:cstheme="majorEastAsia"/>
          <w:sz w:val="28"/>
          <w:szCs w:val="28"/>
          <w:lang w:eastAsia="zh-CN"/>
        </w:rPr>
        <w:t>（年龄</w:t>
      </w:r>
      <w:r>
        <w:rPr>
          <w:rFonts w:hint="eastAsia" w:asciiTheme="majorEastAsia" w:hAnsiTheme="majorEastAsia" w:eastAsiaTheme="majorEastAsia" w:cstheme="majorEastAsia"/>
          <w:sz w:val="28"/>
          <w:szCs w:val="28"/>
          <w:lang w:val="en-US" w:eastAsia="zh-CN"/>
        </w:rPr>
        <w:t>一般</w:t>
      </w:r>
      <w:r>
        <w:rPr>
          <w:rFonts w:hint="eastAsia" w:asciiTheme="majorEastAsia" w:hAnsiTheme="majorEastAsia" w:eastAsiaTheme="majorEastAsia" w:cstheme="majorEastAsia"/>
          <w:sz w:val="28"/>
          <w:szCs w:val="28"/>
          <w:lang w:eastAsia="zh-CN"/>
        </w:rPr>
        <w:t>不超过</w:t>
      </w:r>
      <w:r>
        <w:rPr>
          <w:rFonts w:hint="eastAsia" w:asciiTheme="majorEastAsia" w:hAnsiTheme="majorEastAsia" w:eastAsiaTheme="majorEastAsia" w:cstheme="majorEastAsia"/>
          <w:sz w:val="28"/>
          <w:szCs w:val="28"/>
          <w:lang w:val="en-US" w:eastAsia="zh-CN"/>
        </w:rPr>
        <w:t>45周岁</w:t>
      </w:r>
      <w:r>
        <w:rPr>
          <w:rFonts w:hint="eastAsia" w:asciiTheme="majorEastAsia" w:hAnsiTheme="majorEastAsia" w:eastAsiaTheme="majorEastAsia" w:cstheme="majorEastAsia"/>
          <w:sz w:val="28"/>
          <w:szCs w:val="28"/>
          <w:lang w:eastAsia="zh-CN"/>
        </w:rPr>
        <w:t>）</w:t>
      </w:r>
      <w:r>
        <w:rPr>
          <w:rFonts w:hint="eastAsia" w:asciiTheme="majorEastAsia" w:hAnsiTheme="majorEastAsia" w:eastAsiaTheme="majorEastAsia" w:cstheme="majorEastAsia"/>
          <w:sz w:val="28"/>
          <w:szCs w:val="28"/>
        </w:rPr>
        <w:t>，具体如下：</w:t>
      </w:r>
    </w:p>
    <w:p>
      <w:pPr>
        <w:spacing w:line="540" w:lineRule="exact"/>
        <w:ind w:firstLine="562" w:firstLineChars="200"/>
        <w:rPr>
          <w:rFonts w:asciiTheme="majorEastAsia" w:hAnsiTheme="majorEastAsia" w:eastAsiaTheme="majorEastAsia" w:cstheme="majorEastAsia"/>
          <w:b/>
          <w:color w:val="auto"/>
          <w:sz w:val="28"/>
          <w:szCs w:val="28"/>
        </w:rPr>
      </w:pPr>
      <w:r>
        <w:rPr>
          <w:rFonts w:hint="eastAsia" w:asciiTheme="majorEastAsia" w:hAnsiTheme="majorEastAsia" w:eastAsiaTheme="majorEastAsia" w:cstheme="majorEastAsia"/>
          <w:b/>
          <w:color w:val="auto"/>
          <w:sz w:val="28"/>
          <w:szCs w:val="28"/>
          <w:lang w:val="en-US" w:eastAsia="zh-CN"/>
        </w:rPr>
        <w:t>一</w:t>
      </w:r>
      <w:r>
        <w:rPr>
          <w:rFonts w:hint="eastAsia" w:asciiTheme="majorEastAsia" w:hAnsiTheme="majorEastAsia" w:eastAsiaTheme="majorEastAsia" w:cstheme="majorEastAsia"/>
          <w:b/>
          <w:color w:val="auto"/>
          <w:sz w:val="28"/>
          <w:szCs w:val="28"/>
        </w:rPr>
        <w:t>、需求专业</w:t>
      </w:r>
    </w:p>
    <w:tbl>
      <w:tblPr>
        <w:tblStyle w:val="6"/>
        <w:tblW w:w="8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2102"/>
        <w:gridCol w:w="5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1007" w:type="dxa"/>
            <w:vAlign w:val="center"/>
          </w:tcPr>
          <w:p>
            <w:pPr>
              <w:jc w:val="center"/>
              <w:rPr>
                <w:rFonts w:hint="eastAsia" w:eastAsiaTheme="minorEastAsia"/>
                <w:b/>
                <w:bCs/>
                <w:color w:val="auto"/>
                <w:vertAlign w:val="baseline"/>
                <w:lang w:val="en-US" w:eastAsia="zh-CN"/>
              </w:rPr>
            </w:pPr>
            <w:r>
              <w:rPr>
                <w:rFonts w:hint="eastAsia"/>
                <w:b/>
                <w:bCs/>
                <w:color w:val="auto"/>
                <w:vertAlign w:val="baseline"/>
                <w:lang w:val="en-US" w:eastAsia="zh-CN"/>
              </w:rPr>
              <w:t>序号</w:t>
            </w:r>
          </w:p>
        </w:tc>
        <w:tc>
          <w:tcPr>
            <w:tcW w:w="2102" w:type="dxa"/>
            <w:vAlign w:val="center"/>
          </w:tcPr>
          <w:p>
            <w:pPr>
              <w:jc w:val="center"/>
              <w:rPr>
                <w:rFonts w:hint="eastAsia" w:eastAsiaTheme="minorEastAsia"/>
                <w:b/>
                <w:bCs/>
                <w:color w:val="auto"/>
                <w:vertAlign w:val="baseline"/>
                <w:lang w:val="en-US" w:eastAsia="zh-CN"/>
              </w:rPr>
            </w:pPr>
            <w:r>
              <w:rPr>
                <w:rFonts w:hint="eastAsia"/>
                <w:b/>
                <w:bCs/>
                <w:color w:val="auto"/>
                <w:vertAlign w:val="baseline"/>
                <w:lang w:val="en-US" w:eastAsia="zh-CN"/>
              </w:rPr>
              <w:t>学科门类</w:t>
            </w:r>
          </w:p>
        </w:tc>
        <w:tc>
          <w:tcPr>
            <w:tcW w:w="5371" w:type="dxa"/>
            <w:vAlign w:val="center"/>
          </w:tcPr>
          <w:p>
            <w:pPr>
              <w:jc w:val="center"/>
              <w:rPr>
                <w:rFonts w:hint="eastAsia"/>
                <w:b/>
                <w:bCs/>
                <w:color w:val="auto"/>
                <w:vertAlign w:val="baseline"/>
                <w:lang w:val="en-US" w:eastAsia="zh-CN"/>
              </w:rPr>
            </w:pPr>
            <w:r>
              <w:rPr>
                <w:rFonts w:hint="eastAsia"/>
                <w:b/>
                <w:bCs/>
                <w:color w:val="auto"/>
                <w:vertAlign w:val="baseline"/>
                <w:lang w:val="en-US" w:eastAsia="zh-CN"/>
              </w:rPr>
              <w:t xml:space="preserve">需求专业                     </w:t>
            </w:r>
          </w:p>
          <w:p>
            <w:pPr>
              <w:jc w:val="center"/>
              <w:rPr>
                <w:rFonts w:hint="eastAsia" w:eastAsiaTheme="minorEastAsia"/>
                <w:b/>
                <w:bCs/>
                <w:color w:val="auto"/>
                <w:vertAlign w:val="baseline"/>
                <w:lang w:val="en-US" w:eastAsia="zh-CN"/>
              </w:rPr>
            </w:pPr>
            <w:r>
              <w:rPr>
                <w:rFonts w:hint="eastAsia"/>
                <w:b/>
                <w:bCs/>
                <w:color w:val="auto"/>
                <w:vertAlign w:val="baseline"/>
                <w:lang w:val="en-US" w:eastAsia="zh-CN"/>
              </w:rPr>
              <w:t>（含一级学科覆盖的二、三级专业）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9" w:hRule="atLeast"/>
        </w:trPr>
        <w:tc>
          <w:tcPr>
            <w:tcW w:w="1007" w:type="dxa"/>
            <w:vAlign w:val="center"/>
          </w:tcPr>
          <w:p>
            <w:pPr>
              <w:jc w:val="center"/>
              <w:rPr>
                <w:rFonts w:hint="eastAsia" w:eastAsiaTheme="minorEastAsia"/>
                <w:color w:val="auto"/>
                <w:vertAlign w:val="baseline"/>
                <w:lang w:val="en-US" w:eastAsia="zh-CN"/>
              </w:rPr>
            </w:pPr>
            <w:r>
              <w:rPr>
                <w:rFonts w:hint="eastAsia"/>
                <w:color w:val="auto"/>
                <w:vertAlign w:val="baseline"/>
                <w:lang w:val="en-US" w:eastAsia="zh-CN"/>
              </w:rPr>
              <w:t>1</w:t>
            </w:r>
          </w:p>
        </w:tc>
        <w:tc>
          <w:tcPr>
            <w:tcW w:w="2102" w:type="dxa"/>
            <w:vAlign w:val="center"/>
          </w:tcPr>
          <w:p>
            <w:pPr>
              <w:jc w:val="center"/>
              <w:rPr>
                <w:rFonts w:hint="eastAsia" w:eastAsiaTheme="minorEastAsia"/>
                <w:color w:val="auto"/>
                <w:vertAlign w:val="baseline"/>
                <w:lang w:val="en-US" w:eastAsia="zh-CN"/>
              </w:rPr>
            </w:pPr>
            <w:r>
              <w:rPr>
                <w:rFonts w:hint="eastAsia"/>
                <w:color w:val="auto"/>
                <w:vertAlign w:val="baseline"/>
                <w:lang w:val="en-US" w:eastAsia="zh-CN"/>
              </w:rPr>
              <w:t>医学类</w:t>
            </w:r>
          </w:p>
        </w:tc>
        <w:tc>
          <w:tcPr>
            <w:tcW w:w="5371" w:type="dxa"/>
            <w:vAlign w:val="center"/>
          </w:tcPr>
          <w:p>
            <w:pPr>
              <w:jc w:val="center"/>
              <w:rPr>
                <w:rFonts w:hint="eastAsia" w:eastAsiaTheme="minorEastAsia"/>
                <w:color w:val="auto"/>
                <w:vertAlign w:val="baseline"/>
                <w:lang w:val="en-US" w:eastAsia="zh-CN"/>
              </w:rPr>
            </w:pPr>
            <w:r>
              <w:rPr>
                <w:rFonts w:hint="eastAsia"/>
                <w:color w:val="auto"/>
                <w:vertAlign w:val="baseline"/>
                <w:lang w:val="en-US" w:eastAsia="zh-CN"/>
              </w:rPr>
              <w:t>基础医学、临床医学、口腔医学、公共卫生与预防医学、中医学、中西医结合、药学、中药学、护理学、医学技术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trPr>
        <w:tc>
          <w:tcPr>
            <w:tcW w:w="1007" w:type="dxa"/>
            <w:vAlign w:val="center"/>
          </w:tcPr>
          <w:p>
            <w:pPr>
              <w:jc w:val="center"/>
              <w:rPr>
                <w:rFonts w:hint="eastAsia" w:eastAsiaTheme="minorEastAsia"/>
                <w:color w:val="auto"/>
                <w:vertAlign w:val="baseline"/>
                <w:lang w:val="en-US" w:eastAsia="zh-CN"/>
              </w:rPr>
            </w:pPr>
            <w:r>
              <w:rPr>
                <w:rFonts w:hint="eastAsia"/>
                <w:color w:val="auto"/>
                <w:vertAlign w:val="baseline"/>
                <w:lang w:val="en-US" w:eastAsia="zh-CN"/>
              </w:rPr>
              <w:t>2</w:t>
            </w:r>
          </w:p>
        </w:tc>
        <w:tc>
          <w:tcPr>
            <w:tcW w:w="2102" w:type="dxa"/>
            <w:vAlign w:val="center"/>
          </w:tcPr>
          <w:p>
            <w:pPr>
              <w:jc w:val="center"/>
              <w:rPr>
                <w:rFonts w:hint="eastAsia" w:eastAsiaTheme="minorEastAsia"/>
                <w:color w:val="auto"/>
                <w:vertAlign w:val="baseline"/>
                <w:lang w:val="en-US" w:eastAsia="zh-CN"/>
              </w:rPr>
            </w:pPr>
            <w:r>
              <w:rPr>
                <w:rFonts w:hint="eastAsia"/>
                <w:color w:val="auto"/>
                <w:vertAlign w:val="baseline"/>
                <w:lang w:val="en-US" w:eastAsia="zh-CN"/>
              </w:rPr>
              <w:t>法学类</w:t>
            </w:r>
          </w:p>
        </w:tc>
        <w:tc>
          <w:tcPr>
            <w:tcW w:w="5371" w:type="dxa"/>
            <w:vAlign w:val="center"/>
          </w:tcPr>
          <w:p>
            <w:pPr>
              <w:jc w:val="center"/>
              <w:rPr>
                <w:rFonts w:hint="eastAsia" w:eastAsiaTheme="minorEastAsia"/>
                <w:color w:val="auto"/>
                <w:vertAlign w:val="baseline"/>
                <w:lang w:val="en-US" w:eastAsia="zh-CN"/>
              </w:rPr>
            </w:pPr>
            <w:r>
              <w:rPr>
                <w:rFonts w:hint="eastAsia"/>
                <w:color w:val="auto"/>
                <w:vertAlign w:val="baseline"/>
                <w:lang w:val="en-US" w:eastAsia="zh-CN"/>
              </w:rPr>
              <w:t>法学、马克思主义理论、政治学、社会学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trPr>
        <w:tc>
          <w:tcPr>
            <w:tcW w:w="1007" w:type="dxa"/>
            <w:vAlign w:val="center"/>
          </w:tcPr>
          <w:p>
            <w:pPr>
              <w:jc w:val="center"/>
              <w:rPr>
                <w:rFonts w:hint="eastAsia" w:eastAsiaTheme="minorEastAsia"/>
                <w:color w:val="auto"/>
                <w:vertAlign w:val="baseline"/>
                <w:lang w:val="en-US" w:eastAsia="zh-CN"/>
              </w:rPr>
            </w:pPr>
            <w:r>
              <w:rPr>
                <w:rFonts w:hint="eastAsia"/>
                <w:color w:val="auto"/>
                <w:vertAlign w:val="baseline"/>
                <w:lang w:val="en-US" w:eastAsia="zh-CN"/>
              </w:rPr>
              <w:t>3</w:t>
            </w:r>
          </w:p>
        </w:tc>
        <w:tc>
          <w:tcPr>
            <w:tcW w:w="2102" w:type="dxa"/>
            <w:vAlign w:val="center"/>
          </w:tcPr>
          <w:p>
            <w:pPr>
              <w:jc w:val="center"/>
              <w:rPr>
                <w:rFonts w:hint="eastAsia" w:eastAsiaTheme="minorEastAsia"/>
                <w:color w:val="auto"/>
                <w:vertAlign w:val="baseline"/>
                <w:lang w:val="en-US" w:eastAsia="zh-CN"/>
              </w:rPr>
            </w:pPr>
            <w:r>
              <w:rPr>
                <w:rFonts w:hint="eastAsia"/>
                <w:color w:val="auto"/>
                <w:vertAlign w:val="baseline"/>
                <w:lang w:val="en-US" w:eastAsia="zh-CN"/>
              </w:rPr>
              <w:t>管理学类</w:t>
            </w:r>
          </w:p>
        </w:tc>
        <w:tc>
          <w:tcPr>
            <w:tcW w:w="5371" w:type="dxa"/>
            <w:vAlign w:val="center"/>
          </w:tcPr>
          <w:p>
            <w:pPr>
              <w:jc w:val="left"/>
              <w:rPr>
                <w:rFonts w:hint="eastAsia" w:eastAsiaTheme="minorEastAsia"/>
                <w:color w:val="auto"/>
                <w:vertAlign w:val="baseline"/>
                <w:lang w:val="en-US" w:eastAsia="zh-CN"/>
              </w:rPr>
            </w:pPr>
            <w:r>
              <w:rPr>
                <w:rFonts w:hint="eastAsia"/>
                <w:color w:val="auto"/>
                <w:vertAlign w:val="baseline"/>
                <w:lang w:val="en-US" w:eastAsia="zh-CN"/>
              </w:rPr>
              <w:t>管理科学与工程、工商管理、公共管理、图书情报与档案管理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trPr>
        <w:tc>
          <w:tcPr>
            <w:tcW w:w="1007" w:type="dxa"/>
            <w:vAlign w:val="center"/>
          </w:tcPr>
          <w:p>
            <w:pPr>
              <w:jc w:val="center"/>
              <w:rPr>
                <w:rFonts w:hint="eastAsia" w:eastAsiaTheme="minorEastAsia"/>
                <w:color w:val="auto"/>
                <w:vertAlign w:val="baseline"/>
                <w:lang w:val="en-US" w:eastAsia="zh-CN"/>
              </w:rPr>
            </w:pPr>
            <w:r>
              <w:rPr>
                <w:rFonts w:hint="eastAsia"/>
                <w:color w:val="auto"/>
                <w:vertAlign w:val="baseline"/>
                <w:lang w:val="en-US" w:eastAsia="zh-CN"/>
              </w:rPr>
              <w:t>4</w:t>
            </w:r>
          </w:p>
        </w:tc>
        <w:tc>
          <w:tcPr>
            <w:tcW w:w="2102" w:type="dxa"/>
            <w:vAlign w:val="center"/>
          </w:tcPr>
          <w:p>
            <w:pPr>
              <w:jc w:val="center"/>
              <w:rPr>
                <w:rFonts w:hint="eastAsia" w:eastAsiaTheme="minorEastAsia"/>
                <w:color w:val="auto"/>
                <w:vertAlign w:val="baseline"/>
                <w:lang w:val="en-US" w:eastAsia="zh-CN"/>
              </w:rPr>
            </w:pPr>
            <w:r>
              <w:rPr>
                <w:rFonts w:hint="eastAsia"/>
                <w:color w:val="auto"/>
                <w:vertAlign w:val="baseline"/>
                <w:lang w:val="en-US" w:eastAsia="zh-CN"/>
              </w:rPr>
              <w:t>教育学类</w:t>
            </w:r>
          </w:p>
        </w:tc>
        <w:tc>
          <w:tcPr>
            <w:tcW w:w="5371" w:type="dxa"/>
            <w:vAlign w:val="center"/>
          </w:tcPr>
          <w:p>
            <w:pPr>
              <w:jc w:val="center"/>
              <w:rPr>
                <w:rFonts w:hint="eastAsia" w:eastAsiaTheme="minorEastAsia"/>
                <w:color w:val="auto"/>
                <w:vertAlign w:val="baseline"/>
                <w:lang w:val="en-US" w:eastAsia="zh-CN"/>
              </w:rPr>
            </w:pPr>
            <w:r>
              <w:rPr>
                <w:rFonts w:hint="eastAsia"/>
                <w:color w:val="auto"/>
                <w:vertAlign w:val="baseline"/>
                <w:lang w:val="en-US" w:eastAsia="zh-CN"/>
              </w:rPr>
              <w:t>教育学、心理学、体育学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trPr>
        <w:tc>
          <w:tcPr>
            <w:tcW w:w="1007" w:type="dxa"/>
            <w:vAlign w:val="center"/>
          </w:tcPr>
          <w:p>
            <w:pPr>
              <w:jc w:val="center"/>
              <w:rPr>
                <w:rFonts w:hint="eastAsia" w:eastAsiaTheme="minorEastAsia"/>
                <w:color w:val="auto"/>
                <w:vertAlign w:val="baseline"/>
                <w:lang w:val="en-US" w:eastAsia="zh-CN"/>
              </w:rPr>
            </w:pPr>
            <w:r>
              <w:rPr>
                <w:rFonts w:hint="eastAsia"/>
                <w:color w:val="auto"/>
                <w:vertAlign w:val="baseline"/>
                <w:lang w:val="en-US" w:eastAsia="zh-CN"/>
              </w:rPr>
              <w:t>5</w:t>
            </w:r>
          </w:p>
        </w:tc>
        <w:tc>
          <w:tcPr>
            <w:tcW w:w="2102" w:type="dxa"/>
            <w:vAlign w:val="center"/>
          </w:tcPr>
          <w:p>
            <w:pPr>
              <w:jc w:val="center"/>
              <w:rPr>
                <w:rFonts w:hint="eastAsia" w:eastAsiaTheme="minorEastAsia"/>
                <w:color w:val="auto"/>
                <w:vertAlign w:val="baseline"/>
                <w:lang w:val="en-US" w:eastAsia="zh-CN"/>
              </w:rPr>
            </w:pPr>
            <w:r>
              <w:rPr>
                <w:rFonts w:hint="eastAsia"/>
                <w:color w:val="auto"/>
                <w:vertAlign w:val="baseline"/>
                <w:lang w:val="en-US" w:eastAsia="zh-CN"/>
              </w:rPr>
              <w:t>文学类</w:t>
            </w:r>
          </w:p>
        </w:tc>
        <w:tc>
          <w:tcPr>
            <w:tcW w:w="5371" w:type="dxa"/>
            <w:vAlign w:val="center"/>
          </w:tcPr>
          <w:p>
            <w:pPr>
              <w:jc w:val="center"/>
              <w:rPr>
                <w:color w:val="auto"/>
                <w:vertAlign w:val="baseline"/>
              </w:rPr>
            </w:pPr>
            <w:r>
              <w:rPr>
                <w:rFonts w:hint="eastAsia"/>
                <w:color w:val="auto"/>
                <w:vertAlign w:val="baseline"/>
                <w:lang w:val="en-US" w:eastAsia="zh-CN"/>
              </w:rPr>
              <w:t>外国语言文学（英语方向）、中国语言文学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trPr>
        <w:tc>
          <w:tcPr>
            <w:tcW w:w="1007" w:type="dxa"/>
            <w:vAlign w:val="center"/>
          </w:tcPr>
          <w:p>
            <w:pPr>
              <w:jc w:val="center"/>
              <w:rPr>
                <w:rFonts w:hint="eastAsia" w:eastAsiaTheme="minorEastAsia"/>
                <w:color w:val="auto"/>
                <w:vertAlign w:val="baseline"/>
                <w:lang w:val="en-US" w:eastAsia="zh-CN"/>
              </w:rPr>
            </w:pPr>
            <w:r>
              <w:rPr>
                <w:rFonts w:hint="eastAsia"/>
                <w:color w:val="auto"/>
                <w:vertAlign w:val="baseline"/>
                <w:lang w:val="en-US" w:eastAsia="zh-CN"/>
              </w:rPr>
              <w:t>6</w:t>
            </w:r>
          </w:p>
        </w:tc>
        <w:tc>
          <w:tcPr>
            <w:tcW w:w="2102" w:type="dxa"/>
            <w:vAlign w:val="center"/>
          </w:tcPr>
          <w:p>
            <w:pPr>
              <w:jc w:val="center"/>
              <w:rPr>
                <w:rFonts w:hint="eastAsia" w:eastAsiaTheme="minorEastAsia"/>
                <w:color w:val="auto"/>
                <w:vertAlign w:val="baseline"/>
                <w:lang w:val="en-US" w:eastAsia="zh-CN"/>
              </w:rPr>
            </w:pPr>
            <w:r>
              <w:rPr>
                <w:rFonts w:hint="eastAsia"/>
                <w:color w:val="auto"/>
                <w:vertAlign w:val="baseline"/>
                <w:lang w:val="en-US" w:eastAsia="zh-CN"/>
              </w:rPr>
              <w:t>理学类</w:t>
            </w:r>
          </w:p>
        </w:tc>
        <w:tc>
          <w:tcPr>
            <w:tcW w:w="5371" w:type="dxa"/>
            <w:vAlign w:val="center"/>
          </w:tcPr>
          <w:p>
            <w:pPr>
              <w:jc w:val="center"/>
              <w:rPr>
                <w:rFonts w:hint="eastAsia" w:eastAsiaTheme="minorEastAsia"/>
                <w:color w:val="auto"/>
                <w:vertAlign w:val="baseline"/>
                <w:lang w:val="en-US" w:eastAsia="zh-CN"/>
              </w:rPr>
            </w:pPr>
            <w:r>
              <w:rPr>
                <w:rFonts w:hint="eastAsia"/>
                <w:color w:val="auto"/>
                <w:vertAlign w:val="baseline"/>
                <w:lang w:val="en-US" w:eastAsia="zh-CN"/>
              </w:rPr>
              <w:t>数学、物理学、化学、生物学、统计学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6" w:hRule="atLeast"/>
        </w:trPr>
        <w:tc>
          <w:tcPr>
            <w:tcW w:w="1007" w:type="dxa"/>
            <w:vAlign w:val="center"/>
          </w:tcPr>
          <w:p>
            <w:pPr>
              <w:jc w:val="center"/>
              <w:rPr>
                <w:rFonts w:hint="eastAsia" w:eastAsiaTheme="minorEastAsia"/>
                <w:color w:val="auto"/>
                <w:vertAlign w:val="baseline"/>
                <w:lang w:val="en-US" w:eastAsia="zh-CN"/>
              </w:rPr>
            </w:pPr>
            <w:r>
              <w:rPr>
                <w:rFonts w:hint="eastAsia"/>
                <w:color w:val="auto"/>
                <w:vertAlign w:val="baseline"/>
                <w:lang w:val="en-US" w:eastAsia="zh-CN"/>
              </w:rPr>
              <w:t>7</w:t>
            </w:r>
          </w:p>
        </w:tc>
        <w:tc>
          <w:tcPr>
            <w:tcW w:w="2102" w:type="dxa"/>
            <w:vAlign w:val="center"/>
          </w:tcPr>
          <w:p>
            <w:pPr>
              <w:jc w:val="center"/>
              <w:rPr>
                <w:rFonts w:hint="eastAsia" w:eastAsiaTheme="minorEastAsia"/>
                <w:color w:val="auto"/>
                <w:vertAlign w:val="baseline"/>
                <w:lang w:val="en-US" w:eastAsia="zh-CN"/>
              </w:rPr>
            </w:pPr>
            <w:r>
              <w:rPr>
                <w:rFonts w:hint="eastAsia"/>
                <w:color w:val="auto"/>
                <w:vertAlign w:val="baseline"/>
                <w:lang w:val="en-US" w:eastAsia="zh-CN"/>
              </w:rPr>
              <w:t>工学类</w:t>
            </w:r>
          </w:p>
        </w:tc>
        <w:tc>
          <w:tcPr>
            <w:tcW w:w="5371" w:type="dxa"/>
            <w:vAlign w:val="center"/>
          </w:tcPr>
          <w:p>
            <w:pPr>
              <w:jc w:val="left"/>
              <w:rPr>
                <w:rFonts w:hint="eastAsia" w:eastAsiaTheme="minorEastAsia"/>
                <w:color w:val="auto"/>
                <w:vertAlign w:val="baseline"/>
                <w:lang w:val="en-US" w:eastAsia="zh-CN"/>
              </w:rPr>
            </w:pPr>
            <w:r>
              <w:rPr>
                <w:rFonts w:hint="eastAsia"/>
                <w:color w:val="auto"/>
                <w:vertAlign w:val="baseline"/>
                <w:lang w:val="en-US" w:eastAsia="zh-CN"/>
              </w:rPr>
              <w:t>光学工程、生物医学工程、计算机科学与技术、信息与通信工程、电子科学与技术、软件工程、生物工程、食品科学与工程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6" w:hRule="atLeast"/>
        </w:trPr>
        <w:tc>
          <w:tcPr>
            <w:tcW w:w="1007" w:type="dxa"/>
            <w:vAlign w:val="center"/>
          </w:tcPr>
          <w:p>
            <w:pPr>
              <w:jc w:val="center"/>
              <w:rPr>
                <w:rFonts w:hint="eastAsia"/>
                <w:color w:val="auto"/>
                <w:vertAlign w:val="baseline"/>
                <w:lang w:val="en-US" w:eastAsia="zh-CN"/>
              </w:rPr>
            </w:pPr>
            <w:r>
              <w:rPr>
                <w:rFonts w:hint="eastAsia"/>
                <w:color w:val="auto"/>
                <w:vertAlign w:val="baseline"/>
                <w:lang w:val="en-US" w:eastAsia="zh-CN"/>
              </w:rPr>
              <w:t>8</w:t>
            </w:r>
          </w:p>
        </w:tc>
        <w:tc>
          <w:tcPr>
            <w:tcW w:w="2102" w:type="dxa"/>
            <w:vAlign w:val="center"/>
          </w:tcPr>
          <w:p>
            <w:pPr>
              <w:jc w:val="center"/>
              <w:rPr>
                <w:rFonts w:hint="eastAsia"/>
                <w:color w:val="auto"/>
                <w:vertAlign w:val="baseline"/>
                <w:lang w:val="en-US" w:eastAsia="zh-CN"/>
              </w:rPr>
            </w:pPr>
            <w:r>
              <w:rPr>
                <w:rFonts w:hint="eastAsia"/>
                <w:color w:val="auto"/>
                <w:vertAlign w:val="baseline"/>
                <w:lang w:val="en-US" w:eastAsia="zh-CN"/>
              </w:rPr>
              <w:t>哲学类</w:t>
            </w:r>
          </w:p>
        </w:tc>
        <w:tc>
          <w:tcPr>
            <w:tcW w:w="5371" w:type="dxa"/>
            <w:vAlign w:val="center"/>
          </w:tcPr>
          <w:p>
            <w:pPr>
              <w:jc w:val="center"/>
              <w:rPr>
                <w:rFonts w:hint="eastAsia"/>
                <w:color w:val="auto"/>
                <w:vertAlign w:val="baseline"/>
                <w:lang w:val="en-US" w:eastAsia="zh-CN"/>
              </w:rPr>
            </w:pPr>
            <w:r>
              <w:rPr>
                <w:rFonts w:hint="eastAsia"/>
                <w:color w:val="auto"/>
                <w:vertAlign w:val="baseline"/>
                <w:lang w:val="en-US" w:eastAsia="zh-CN"/>
              </w:rPr>
              <w:t>哲学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6" w:hRule="atLeast"/>
        </w:trPr>
        <w:tc>
          <w:tcPr>
            <w:tcW w:w="1007" w:type="dxa"/>
            <w:vAlign w:val="center"/>
          </w:tcPr>
          <w:p>
            <w:pPr>
              <w:jc w:val="center"/>
              <w:rPr>
                <w:rFonts w:hint="eastAsia"/>
                <w:color w:val="auto"/>
                <w:vertAlign w:val="baseline"/>
                <w:lang w:val="en-US" w:eastAsia="zh-CN"/>
              </w:rPr>
            </w:pPr>
            <w:r>
              <w:rPr>
                <w:rFonts w:hint="eastAsia"/>
                <w:color w:val="auto"/>
                <w:vertAlign w:val="baseline"/>
                <w:lang w:val="en-US" w:eastAsia="zh-CN"/>
              </w:rPr>
              <w:t>9</w:t>
            </w:r>
          </w:p>
        </w:tc>
        <w:tc>
          <w:tcPr>
            <w:tcW w:w="2102" w:type="dxa"/>
            <w:vAlign w:val="center"/>
          </w:tcPr>
          <w:p>
            <w:pPr>
              <w:jc w:val="center"/>
              <w:rPr>
                <w:rFonts w:hint="eastAsia"/>
                <w:color w:val="auto"/>
                <w:vertAlign w:val="baseline"/>
                <w:lang w:val="en-US" w:eastAsia="zh-CN"/>
              </w:rPr>
            </w:pPr>
            <w:r>
              <w:rPr>
                <w:rFonts w:hint="eastAsia"/>
                <w:color w:val="auto"/>
                <w:vertAlign w:val="baseline"/>
                <w:lang w:val="en-US" w:eastAsia="zh-CN"/>
              </w:rPr>
              <w:t>经济学类</w:t>
            </w:r>
          </w:p>
        </w:tc>
        <w:tc>
          <w:tcPr>
            <w:tcW w:w="5371" w:type="dxa"/>
            <w:vAlign w:val="center"/>
          </w:tcPr>
          <w:p>
            <w:pPr>
              <w:jc w:val="center"/>
              <w:rPr>
                <w:rFonts w:hint="eastAsia"/>
                <w:color w:val="auto"/>
                <w:vertAlign w:val="baseline"/>
                <w:lang w:val="en-US" w:eastAsia="zh-CN"/>
              </w:rPr>
            </w:pPr>
            <w:r>
              <w:rPr>
                <w:rFonts w:hint="eastAsia"/>
                <w:color w:val="auto"/>
                <w:vertAlign w:val="baseline"/>
                <w:lang w:val="en-US" w:eastAsia="zh-CN"/>
              </w:rPr>
              <w:t>理论经济学、应用经济学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6" w:hRule="atLeast"/>
        </w:trPr>
        <w:tc>
          <w:tcPr>
            <w:tcW w:w="1007" w:type="dxa"/>
            <w:vAlign w:val="center"/>
          </w:tcPr>
          <w:p>
            <w:pPr>
              <w:jc w:val="center"/>
              <w:rPr>
                <w:rFonts w:hint="eastAsia"/>
                <w:color w:val="auto"/>
                <w:vertAlign w:val="baseline"/>
                <w:lang w:val="en-US" w:eastAsia="zh-CN"/>
              </w:rPr>
            </w:pPr>
            <w:r>
              <w:rPr>
                <w:rFonts w:hint="eastAsia"/>
                <w:color w:val="auto"/>
                <w:vertAlign w:val="baseline"/>
                <w:lang w:val="en-US" w:eastAsia="zh-CN"/>
              </w:rPr>
              <w:t>10</w:t>
            </w:r>
          </w:p>
        </w:tc>
        <w:tc>
          <w:tcPr>
            <w:tcW w:w="2102" w:type="dxa"/>
            <w:vAlign w:val="center"/>
          </w:tcPr>
          <w:p>
            <w:pPr>
              <w:jc w:val="center"/>
              <w:rPr>
                <w:rFonts w:hint="eastAsia"/>
                <w:color w:val="auto"/>
                <w:vertAlign w:val="baseline"/>
                <w:lang w:val="en-US" w:eastAsia="zh-CN"/>
              </w:rPr>
            </w:pPr>
            <w:r>
              <w:rPr>
                <w:rFonts w:hint="eastAsia"/>
                <w:color w:val="auto"/>
                <w:vertAlign w:val="baseline"/>
                <w:lang w:val="en-US" w:eastAsia="zh-CN"/>
              </w:rPr>
              <w:t>历史学类</w:t>
            </w:r>
          </w:p>
        </w:tc>
        <w:tc>
          <w:tcPr>
            <w:tcW w:w="5371" w:type="dxa"/>
            <w:vAlign w:val="center"/>
          </w:tcPr>
          <w:p>
            <w:pPr>
              <w:jc w:val="center"/>
              <w:rPr>
                <w:rFonts w:hint="eastAsia"/>
                <w:color w:val="auto"/>
                <w:vertAlign w:val="baseline"/>
                <w:lang w:val="en-US" w:eastAsia="zh-CN"/>
              </w:rPr>
            </w:pPr>
            <w:r>
              <w:rPr>
                <w:rFonts w:hint="eastAsia"/>
                <w:color w:val="auto"/>
                <w:vertAlign w:val="baseline"/>
                <w:lang w:val="en-US" w:eastAsia="zh-CN"/>
              </w:rPr>
              <w:t>中国史、世界史</w:t>
            </w:r>
          </w:p>
        </w:tc>
      </w:tr>
    </w:tbl>
    <w:p>
      <w:pPr>
        <w:rPr>
          <w:color w:val="auto"/>
        </w:rPr>
      </w:pPr>
    </w:p>
    <w:p>
      <w:pPr>
        <w:spacing w:line="540" w:lineRule="exact"/>
        <w:ind w:firstLine="560" w:firstLineChars="200"/>
        <w:rPr>
          <w:rFonts w:hint="eastAsia" w:asciiTheme="majorEastAsia" w:hAnsiTheme="majorEastAsia" w:eastAsiaTheme="majorEastAsia" w:cstheme="majorEastAsia"/>
          <w:sz w:val="28"/>
          <w:szCs w:val="28"/>
        </w:rPr>
      </w:pPr>
    </w:p>
    <w:p>
      <w:pPr>
        <w:spacing w:line="540" w:lineRule="exact"/>
        <w:ind w:firstLine="562" w:firstLineChars="200"/>
        <w:rPr>
          <w:rFonts w:asciiTheme="majorEastAsia" w:hAnsiTheme="majorEastAsia" w:eastAsiaTheme="majorEastAsia" w:cstheme="majorEastAsia"/>
          <w:b/>
          <w:bCs/>
          <w:sz w:val="28"/>
          <w:szCs w:val="28"/>
        </w:rPr>
      </w:pPr>
      <w:r>
        <w:rPr>
          <w:rFonts w:hint="eastAsia" w:asciiTheme="majorEastAsia" w:hAnsiTheme="majorEastAsia" w:eastAsiaTheme="majorEastAsia" w:cstheme="majorEastAsia"/>
          <w:b/>
          <w:sz w:val="28"/>
          <w:szCs w:val="28"/>
          <w:lang w:eastAsia="zh-CN"/>
        </w:rPr>
        <w:t>二</w:t>
      </w:r>
      <w:r>
        <w:rPr>
          <w:rFonts w:hint="eastAsia" w:asciiTheme="majorEastAsia" w:hAnsiTheme="majorEastAsia" w:eastAsiaTheme="majorEastAsia" w:cstheme="majorEastAsia"/>
          <w:b/>
          <w:sz w:val="28"/>
          <w:szCs w:val="28"/>
        </w:rPr>
        <w:t>、</w:t>
      </w:r>
      <w:r>
        <w:rPr>
          <w:rFonts w:hint="eastAsia" w:asciiTheme="majorEastAsia" w:hAnsiTheme="majorEastAsia" w:eastAsiaTheme="majorEastAsia" w:cstheme="majorEastAsia"/>
          <w:b/>
          <w:bCs/>
          <w:sz w:val="28"/>
          <w:szCs w:val="28"/>
        </w:rPr>
        <w:t>引进待遇(人民币，下同)</w:t>
      </w:r>
    </w:p>
    <w:tbl>
      <w:tblPr>
        <w:tblStyle w:val="6"/>
        <w:tblW w:w="87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719"/>
        <w:gridCol w:w="1776"/>
        <w:gridCol w:w="2610"/>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6" w:type="dxa"/>
            <w:vAlign w:val="center"/>
          </w:tcPr>
          <w:p>
            <w:pPr>
              <w:spacing w:line="540" w:lineRule="exact"/>
              <w:jc w:val="center"/>
              <w:rPr>
                <w:rFonts w:asciiTheme="majorEastAsia" w:hAnsiTheme="majorEastAsia" w:eastAsiaTheme="majorEastAsia" w:cstheme="majorEastAsia"/>
                <w:color w:val="000000" w:themeColor="text1"/>
                <w:sz w:val="28"/>
                <w:szCs w:val="28"/>
                <w14:textFill>
                  <w14:solidFill>
                    <w14:schemeClr w14:val="tx1"/>
                  </w14:solidFill>
                </w14:textFill>
              </w:rPr>
            </w:pPr>
            <w:r>
              <w:rPr>
                <w:rFonts w:hint="eastAsia" w:asciiTheme="majorEastAsia" w:hAnsiTheme="majorEastAsia" w:eastAsiaTheme="majorEastAsia" w:cstheme="majorEastAsia"/>
                <w:color w:val="000000" w:themeColor="text1"/>
                <w:sz w:val="28"/>
                <w:szCs w:val="28"/>
                <w14:textFill>
                  <w14:solidFill>
                    <w14:schemeClr w14:val="tx1"/>
                  </w14:solidFill>
                </w14:textFill>
              </w:rPr>
              <w:t>引进类别</w:t>
            </w:r>
          </w:p>
        </w:tc>
        <w:tc>
          <w:tcPr>
            <w:tcW w:w="1719" w:type="dxa"/>
            <w:vAlign w:val="center"/>
          </w:tcPr>
          <w:p>
            <w:pPr>
              <w:spacing w:line="540" w:lineRule="exact"/>
              <w:jc w:val="center"/>
              <w:rPr>
                <w:rFonts w:asciiTheme="majorEastAsia" w:hAnsiTheme="majorEastAsia" w:eastAsiaTheme="majorEastAsia" w:cstheme="majorEastAsia"/>
                <w:color w:val="000000" w:themeColor="text1"/>
                <w:sz w:val="28"/>
                <w:szCs w:val="28"/>
                <w14:textFill>
                  <w14:solidFill>
                    <w14:schemeClr w14:val="tx1"/>
                  </w14:solidFill>
                </w14:textFill>
              </w:rPr>
            </w:pPr>
            <w:r>
              <w:rPr>
                <w:rFonts w:hint="eastAsia" w:asciiTheme="majorEastAsia" w:hAnsiTheme="majorEastAsia" w:eastAsiaTheme="majorEastAsia" w:cstheme="majorEastAsia"/>
                <w:color w:val="000000" w:themeColor="text1"/>
                <w:sz w:val="28"/>
                <w:szCs w:val="28"/>
                <w14:textFill>
                  <w14:solidFill>
                    <w14:schemeClr w14:val="tx1"/>
                  </w14:solidFill>
                </w14:textFill>
              </w:rPr>
              <w:t>安家费</w:t>
            </w:r>
          </w:p>
        </w:tc>
        <w:tc>
          <w:tcPr>
            <w:tcW w:w="1776" w:type="dxa"/>
            <w:vAlign w:val="center"/>
          </w:tcPr>
          <w:p>
            <w:pPr>
              <w:spacing w:line="540" w:lineRule="exact"/>
              <w:jc w:val="center"/>
              <w:rPr>
                <w:rFonts w:asciiTheme="majorEastAsia" w:hAnsiTheme="majorEastAsia" w:eastAsiaTheme="majorEastAsia" w:cstheme="majorEastAsia"/>
                <w:color w:val="000000" w:themeColor="text1"/>
                <w:sz w:val="28"/>
                <w:szCs w:val="28"/>
                <w14:textFill>
                  <w14:solidFill>
                    <w14:schemeClr w14:val="tx1"/>
                  </w14:solidFill>
                </w14:textFill>
              </w:rPr>
            </w:pPr>
            <w:r>
              <w:rPr>
                <w:rFonts w:hint="eastAsia" w:asciiTheme="majorEastAsia" w:hAnsiTheme="majorEastAsia" w:eastAsiaTheme="majorEastAsia" w:cstheme="majorEastAsia"/>
                <w:color w:val="000000" w:themeColor="text1"/>
                <w:sz w:val="28"/>
                <w:szCs w:val="28"/>
                <w14:textFill>
                  <w14:solidFill>
                    <w14:schemeClr w14:val="tx1"/>
                  </w14:solidFill>
                </w14:textFill>
              </w:rPr>
              <w:t>租房补贴</w:t>
            </w:r>
          </w:p>
        </w:tc>
        <w:tc>
          <w:tcPr>
            <w:tcW w:w="2610" w:type="dxa"/>
            <w:vAlign w:val="center"/>
          </w:tcPr>
          <w:p>
            <w:pPr>
              <w:spacing w:line="540" w:lineRule="exact"/>
              <w:jc w:val="center"/>
              <w:rPr>
                <w:rFonts w:asciiTheme="majorEastAsia" w:hAnsiTheme="majorEastAsia" w:eastAsiaTheme="majorEastAsia" w:cstheme="majorEastAsia"/>
                <w:color w:val="000000" w:themeColor="text1"/>
                <w:sz w:val="28"/>
                <w:szCs w:val="28"/>
                <w14:textFill>
                  <w14:solidFill>
                    <w14:schemeClr w14:val="tx1"/>
                  </w14:solidFill>
                </w14:textFill>
              </w:rPr>
            </w:pPr>
            <w:r>
              <w:rPr>
                <w:rFonts w:hint="eastAsia" w:asciiTheme="majorEastAsia" w:hAnsiTheme="majorEastAsia" w:eastAsiaTheme="majorEastAsia" w:cstheme="majorEastAsia"/>
                <w:color w:val="000000" w:themeColor="text1"/>
                <w:sz w:val="28"/>
                <w:szCs w:val="28"/>
                <w14:textFill>
                  <w14:solidFill>
                    <w14:schemeClr w14:val="tx1"/>
                  </w14:solidFill>
                </w14:textFill>
              </w:rPr>
              <w:t>薪酬及待遇</w:t>
            </w:r>
          </w:p>
        </w:tc>
        <w:tc>
          <w:tcPr>
            <w:tcW w:w="1230" w:type="dxa"/>
          </w:tcPr>
          <w:p>
            <w:pPr>
              <w:spacing w:line="540" w:lineRule="exact"/>
              <w:rPr>
                <w:rFonts w:asciiTheme="majorEastAsia" w:hAnsiTheme="majorEastAsia" w:eastAsiaTheme="majorEastAsia" w:cstheme="majorEastAsia"/>
                <w:color w:val="000000" w:themeColor="text1"/>
                <w:sz w:val="28"/>
                <w:szCs w:val="28"/>
                <w14:textFill>
                  <w14:solidFill>
                    <w14:schemeClr w14:val="tx1"/>
                  </w14:solidFill>
                </w14:textFill>
              </w:rPr>
            </w:pPr>
            <w:r>
              <w:rPr>
                <w:rFonts w:hint="eastAsia" w:asciiTheme="majorEastAsia" w:hAnsiTheme="majorEastAsia" w:eastAsiaTheme="majorEastAsia" w:cstheme="majorEastAsia"/>
                <w:color w:val="000000" w:themeColor="text1"/>
                <w:sz w:val="28"/>
                <w:szCs w:val="28"/>
                <w14:textFill>
                  <w14:solidFill>
                    <w14:schemeClr w14:val="tx1"/>
                  </w14:solidFill>
                </w14:textFill>
              </w:rPr>
              <w:t>科研启动经费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5" w:hRule="atLeast"/>
        </w:trPr>
        <w:tc>
          <w:tcPr>
            <w:tcW w:w="1366" w:type="dxa"/>
            <w:vAlign w:val="center"/>
          </w:tcPr>
          <w:p>
            <w:pPr>
              <w:spacing w:line="540" w:lineRule="exact"/>
              <w:jc w:val="center"/>
              <w:rPr>
                <w:rFonts w:asciiTheme="majorEastAsia" w:hAnsiTheme="majorEastAsia" w:eastAsiaTheme="majorEastAsia" w:cstheme="majorEastAsia"/>
                <w:color w:val="000000" w:themeColor="text1"/>
                <w:sz w:val="28"/>
                <w:szCs w:val="28"/>
                <w14:textFill>
                  <w14:solidFill>
                    <w14:schemeClr w14:val="tx1"/>
                  </w14:solidFill>
                </w14:textFill>
              </w:rPr>
            </w:pPr>
            <w:r>
              <w:rPr>
                <w:rFonts w:hint="eastAsia" w:asciiTheme="majorEastAsia" w:hAnsiTheme="majorEastAsia" w:eastAsiaTheme="majorEastAsia" w:cstheme="majorEastAsia"/>
                <w:color w:val="000000" w:themeColor="text1"/>
                <w:sz w:val="28"/>
                <w:szCs w:val="28"/>
                <w:lang w:val="en-US" w:eastAsia="zh-CN"/>
                <w14:textFill>
                  <w14:solidFill>
                    <w14:schemeClr w14:val="tx1"/>
                  </w14:solidFill>
                </w14:textFill>
              </w:rPr>
              <w:t>A类</w:t>
            </w:r>
            <w:r>
              <w:rPr>
                <w:rFonts w:hint="eastAsia" w:asciiTheme="majorEastAsia" w:hAnsiTheme="majorEastAsia" w:eastAsiaTheme="majorEastAsia" w:cstheme="majorEastAsia"/>
                <w:color w:val="000000" w:themeColor="text1"/>
                <w:sz w:val="28"/>
                <w:szCs w:val="28"/>
                <w14:textFill>
                  <w14:solidFill>
                    <w14:schemeClr w14:val="tx1"/>
                  </w14:solidFill>
                </w14:textFill>
              </w:rPr>
              <w:t>博士</w:t>
            </w:r>
          </w:p>
        </w:tc>
        <w:tc>
          <w:tcPr>
            <w:tcW w:w="1719" w:type="dxa"/>
          </w:tcPr>
          <w:p>
            <w:pPr>
              <w:widowControl/>
              <w:spacing w:before="100" w:beforeAutospacing="1" w:after="100" w:afterAutospacing="1"/>
              <w:jc w:val="left"/>
              <w:rPr>
                <w:rFonts w:hint="eastAsia" w:ascii="宋体" w:hAnsi="宋体" w:eastAsia="宋体" w:cs="宋体"/>
                <w:b w:val="0"/>
                <w:bCs w:val="0"/>
                <w:color w:val="000000" w:themeColor="text1"/>
                <w:kern w:val="0"/>
                <w:sz w:val="24"/>
                <w14:textFill>
                  <w14:solidFill>
                    <w14:schemeClr w14:val="tx1"/>
                  </w14:solidFill>
                </w14:textFill>
              </w:rPr>
            </w:pPr>
            <w:r>
              <w:rPr>
                <w:rFonts w:hint="eastAsia" w:ascii="宋体" w:hAnsi="宋体" w:eastAsia="宋体" w:cs="宋体"/>
                <w:b w:val="0"/>
                <w:bCs w:val="0"/>
                <w:color w:val="000000" w:themeColor="text1"/>
                <w:kern w:val="0"/>
                <w:sz w:val="24"/>
                <w14:textFill>
                  <w14:solidFill>
                    <w14:schemeClr w14:val="tx1"/>
                  </w14:solidFill>
                </w14:textFill>
              </w:rPr>
              <w:t>2</w:t>
            </w:r>
            <w:r>
              <w:rPr>
                <w:rFonts w:hint="eastAsia" w:ascii="宋体" w:hAnsi="宋体" w:eastAsia="宋体" w:cs="宋体"/>
                <w:b w:val="0"/>
                <w:bCs w:val="0"/>
                <w:color w:val="000000" w:themeColor="text1"/>
                <w:kern w:val="0"/>
                <w:sz w:val="24"/>
                <w:lang w:val="en-US" w:eastAsia="zh-CN"/>
                <w14:textFill>
                  <w14:solidFill>
                    <w14:schemeClr w14:val="tx1"/>
                  </w14:solidFill>
                </w14:textFill>
              </w:rPr>
              <w:t>6</w:t>
            </w:r>
            <w:r>
              <w:rPr>
                <w:rFonts w:hint="eastAsia" w:ascii="宋体" w:hAnsi="宋体" w:eastAsia="宋体" w:cs="宋体"/>
                <w:b w:val="0"/>
                <w:bCs w:val="0"/>
                <w:color w:val="000000" w:themeColor="text1"/>
                <w:kern w:val="0"/>
                <w:sz w:val="24"/>
                <w14:textFill>
                  <w14:solidFill>
                    <w14:schemeClr w14:val="tx1"/>
                  </w14:solidFill>
                </w14:textFill>
              </w:rPr>
              <w:t>-</w:t>
            </w:r>
            <w:r>
              <w:rPr>
                <w:rFonts w:hint="eastAsia" w:ascii="宋体" w:hAnsi="宋体" w:eastAsia="宋体" w:cs="宋体"/>
                <w:b w:val="0"/>
                <w:bCs w:val="0"/>
                <w:color w:val="000000" w:themeColor="text1"/>
                <w:kern w:val="0"/>
                <w:sz w:val="24"/>
                <w:lang w:val="en-US" w:eastAsia="zh-CN"/>
                <w14:textFill>
                  <w14:solidFill>
                    <w14:schemeClr w14:val="tx1"/>
                  </w14:solidFill>
                </w14:textFill>
              </w:rPr>
              <w:t>31</w:t>
            </w:r>
            <w:r>
              <w:rPr>
                <w:rFonts w:hint="eastAsia" w:ascii="宋体" w:hAnsi="宋体" w:eastAsia="宋体" w:cs="宋体"/>
                <w:b w:val="0"/>
                <w:bCs w:val="0"/>
                <w:color w:val="000000" w:themeColor="text1"/>
                <w:kern w:val="0"/>
                <w:sz w:val="24"/>
                <w14:textFill>
                  <w14:solidFill>
                    <w14:schemeClr w14:val="tx1"/>
                  </w14:solidFill>
                </w14:textFill>
              </w:rPr>
              <w:t>万元</w:t>
            </w:r>
            <w:r>
              <w:rPr>
                <w:rFonts w:hint="eastAsia" w:ascii="宋体" w:hAnsi="宋体" w:eastAsia="宋体" w:cs="宋体"/>
                <w:b w:val="0"/>
                <w:bCs w:val="0"/>
                <w:color w:val="000000" w:themeColor="text1"/>
                <w:kern w:val="0"/>
                <w:sz w:val="24"/>
                <w:lang w:val="en-US" w:eastAsia="zh-CN"/>
                <w14:textFill>
                  <w14:solidFill>
                    <w14:schemeClr w14:val="tx1"/>
                  </w14:solidFill>
                </w14:textFill>
              </w:rPr>
              <w:t>(自然学科,税后）；21-26万元（人文学科,税后）</w:t>
            </w:r>
          </w:p>
          <w:p>
            <w:pPr>
              <w:widowControl/>
              <w:spacing w:before="100" w:beforeAutospacing="1" w:after="100" w:afterAutospacing="1"/>
              <w:jc w:val="left"/>
              <w:rPr>
                <w:rFonts w:asciiTheme="majorEastAsia" w:hAnsiTheme="majorEastAsia" w:eastAsiaTheme="majorEastAsia" w:cstheme="majorEastAsia"/>
                <w:b w:val="0"/>
                <w:bCs w:val="0"/>
                <w:color w:val="000000" w:themeColor="text1"/>
                <w:sz w:val="24"/>
                <w14:textFill>
                  <w14:solidFill>
                    <w14:schemeClr w14:val="tx1"/>
                  </w14:solidFill>
                </w14:textFill>
              </w:rPr>
            </w:pPr>
            <w:r>
              <w:rPr>
                <w:rFonts w:hint="eastAsia" w:ascii="宋体" w:hAnsi="宋体" w:eastAsia="宋体" w:cs="宋体"/>
                <w:b w:val="0"/>
                <w:bCs w:val="0"/>
                <w:color w:val="000000" w:themeColor="text1"/>
                <w:kern w:val="0"/>
                <w:sz w:val="24"/>
                <w14:textFill>
                  <w14:solidFill>
                    <w14:schemeClr w14:val="tx1"/>
                  </w14:solidFill>
                </w14:textFill>
              </w:rPr>
              <w:t>（含当地政府发放的安家费及生活补贴</w:t>
            </w:r>
            <w:r>
              <w:rPr>
                <w:rFonts w:hint="eastAsia" w:ascii="宋体" w:hAnsi="宋体" w:eastAsia="宋体" w:cs="宋体"/>
                <w:b w:val="0"/>
                <w:bCs w:val="0"/>
                <w:color w:val="000000" w:themeColor="text1"/>
                <w:kern w:val="0"/>
                <w:sz w:val="24"/>
                <w:lang w:val="en-US" w:eastAsia="zh-CN"/>
                <w14:textFill>
                  <w14:solidFill>
                    <w14:schemeClr w14:val="tx1"/>
                  </w14:solidFill>
                </w14:textFill>
              </w:rPr>
              <w:t>。学校发放部分按12个月平均发放</w:t>
            </w:r>
            <w:r>
              <w:rPr>
                <w:rFonts w:hint="eastAsia" w:ascii="宋体" w:hAnsi="宋体" w:eastAsia="宋体" w:cs="宋体"/>
                <w:b w:val="0"/>
                <w:bCs w:val="0"/>
                <w:color w:val="000000" w:themeColor="text1"/>
                <w:kern w:val="0"/>
                <w:sz w:val="24"/>
                <w14:textFill>
                  <w14:solidFill>
                    <w14:schemeClr w14:val="tx1"/>
                  </w14:solidFill>
                </w14:textFill>
              </w:rPr>
              <w:t>）</w:t>
            </w:r>
          </w:p>
        </w:tc>
        <w:tc>
          <w:tcPr>
            <w:tcW w:w="1776" w:type="dxa"/>
            <w:vMerge w:val="restart"/>
          </w:tcPr>
          <w:p>
            <w:pPr>
              <w:spacing w:line="540" w:lineRule="exact"/>
              <w:rPr>
                <w:rFonts w:hint="eastAsia" w:asciiTheme="majorEastAsia" w:hAnsiTheme="majorEastAsia" w:eastAsiaTheme="majorEastAsia" w:cstheme="majorEastAsia"/>
                <w:color w:val="000000" w:themeColor="text1"/>
                <w:sz w:val="24"/>
                <w:lang w:eastAsia="zh-CN"/>
                <w14:textFill>
                  <w14:solidFill>
                    <w14:schemeClr w14:val="tx1"/>
                  </w14:solidFill>
                </w14:textFill>
              </w:rPr>
            </w:pPr>
            <w:r>
              <w:rPr>
                <w:rFonts w:hint="eastAsia" w:asciiTheme="majorEastAsia" w:hAnsiTheme="majorEastAsia" w:eastAsiaTheme="majorEastAsia" w:cstheme="majorEastAsia"/>
                <w:color w:val="000000" w:themeColor="text1"/>
                <w:sz w:val="24"/>
                <w:lang w:eastAsia="zh-CN"/>
                <w14:textFill>
                  <w14:solidFill>
                    <w14:schemeClr w14:val="tx1"/>
                  </w14:solidFill>
                </w14:textFill>
              </w:rPr>
              <w:t>提供房租补贴</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1500元/月，最长24个月。</w:t>
            </w:r>
          </w:p>
        </w:tc>
        <w:tc>
          <w:tcPr>
            <w:tcW w:w="2610" w:type="dxa"/>
          </w:tcPr>
          <w:p>
            <w:pPr>
              <w:spacing w:line="540" w:lineRule="exact"/>
              <w:rPr>
                <w:rFonts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z w:val="24"/>
                <w:lang w:eastAsia="zh-CN"/>
                <w14:textFill>
                  <w14:solidFill>
                    <w14:schemeClr w14:val="tx1"/>
                  </w14:solidFill>
                </w14:textFill>
              </w:rPr>
              <w:t>基本</w:t>
            </w:r>
            <w:r>
              <w:rPr>
                <w:rFonts w:hint="eastAsia" w:asciiTheme="majorEastAsia" w:hAnsiTheme="majorEastAsia" w:eastAsiaTheme="majorEastAsia" w:cstheme="majorEastAsia"/>
                <w:color w:val="000000" w:themeColor="text1"/>
                <w:sz w:val="24"/>
                <w14:textFill>
                  <w14:solidFill>
                    <w14:schemeClr w14:val="tx1"/>
                  </w14:solidFill>
                </w14:textFill>
              </w:rPr>
              <w:t>工资标准</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按国家政策兑现中级职称待遇（专十级）</w:t>
            </w:r>
            <w:r>
              <w:rPr>
                <w:rFonts w:hint="eastAsia" w:asciiTheme="majorEastAsia" w:hAnsiTheme="majorEastAsia" w:eastAsiaTheme="majorEastAsia" w:cstheme="majorEastAsia"/>
                <w:color w:val="000000" w:themeColor="text1"/>
                <w:sz w:val="24"/>
                <w14:textFill>
                  <w14:solidFill>
                    <w14:schemeClr w14:val="tx1"/>
                  </w14:solidFill>
                </w14:textFill>
              </w:rPr>
              <w:t>，校内绩效享受</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校聘副教授待遇</w:t>
            </w:r>
            <w:r>
              <w:rPr>
                <w:rFonts w:hint="eastAsia" w:asciiTheme="majorEastAsia" w:hAnsiTheme="majorEastAsia" w:eastAsiaTheme="majorEastAsia" w:cstheme="majorEastAsia"/>
                <w:color w:val="000000" w:themeColor="text1"/>
                <w:sz w:val="24"/>
                <w:lang w:val="en-US" w:eastAsia="zh-CN"/>
                <w14:textFill>
                  <w14:solidFill>
                    <w14:schemeClr w14:val="tx1"/>
                  </w14:solidFill>
                </w14:textFill>
              </w:rPr>
              <w:t>2年，2年后按实际职称兑现待遇</w:t>
            </w:r>
          </w:p>
        </w:tc>
        <w:tc>
          <w:tcPr>
            <w:tcW w:w="1230" w:type="dxa"/>
            <w:vAlign w:val="center"/>
          </w:tcPr>
          <w:p>
            <w:pPr>
              <w:spacing w:line="540" w:lineRule="exact"/>
              <w:jc w:val="center"/>
              <w:rPr>
                <w:rFonts w:hint="eastAsia" w:asciiTheme="majorEastAsia" w:hAnsiTheme="majorEastAsia" w:eastAsiaTheme="majorEastAsia" w:cstheme="majorEastAsia"/>
                <w:color w:val="000000" w:themeColor="text1"/>
                <w:sz w:val="21"/>
                <w:szCs w:val="21"/>
                <w:lang w:eastAsia="zh-CN"/>
                <w14:textFill>
                  <w14:solidFill>
                    <w14:schemeClr w14:val="tx1"/>
                  </w14:solidFill>
                </w14:textFill>
              </w:rPr>
            </w:pPr>
            <w:r>
              <w:rPr>
                <w:rFonts w:hint="eastAsia" w:asciiTheme="majorEastAsia" w:hAnsiTheme="majorEastAsia" w:eastAsiaTheme="majorEastAsia" w:cstheme="majorEastAsia"/>
                <w:color w:val="000000" w:themeColor="text1"/>
                <w:sz w:val="21"/>
                <w:szCs w:val="21"/>
                <w:lang w:val="en-US" w:eastAsia="zh-CN"/>
                <w14:textFill>
                  <w14:solidFill>
                    <w14:schemeClr w14:val="tx1"/>
                  </w14:solidFill>
                </w14:textFill>
              </w:rPr>
              <w:t>人文学科类：10-15万元；自然学科类：15-20万元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6" w:type="dxa"/>
            <w:vAlign w:val="center"/>
          </w:tcPr>
          <w:p>
            <w:pPr>
              <w:spacing w:line="540" w:lineRule="exact"/>
              <w:jc w:val="center"/>
              <w:rPr>
                <w:rFonts w:asciiTheme="majorEastAsia" w:hAnsiTheme="majorEastAsia" w:eastAsiaTheme="majorEastAsia" w:cstheme="majorEastAsia"/>
                <w:color w:val="000000" w:themeColor="text1"/>
                <w:sz w:val="28"/>
                <w:szCs w:val="28"/>
                <w14:textFill>
                  <w14:solidFill>
                    <w14:schemeClr w14:val="tx1"/>
                  </w14:solidFill>
                </w14:textFill>
              </w:rPr>
            </w:pPr>
            <w:r>
              <w:rPr>
                <w:rFonts w:hint="eastAsia" w:asciiTheme="majorEastAsia" w:hAnsiTheme="majorEastAsia" w:eastAsiaTheme="majorEastAsia" w:cstheme="majorEastAsia"/>
                <w:color w:val="000000" w:themeColor="text1"/>
                <w:sz w:val="28"/>
                <w:szCs w:val="28"/>
                <w:lang w:val="en-US" w:eastAsia="zh-CN"/>
                <w14:textFill>
                  <w14:solidFill>
                    <w14:schemeClr w14:val="tx1"/>
                  </w14:solidFill>
                </w14:textFill>
              </w:rPr>
              <w:t>B类</w:t>
            </w:r>
            <w:r>
              <w:rPr>
                <w:rFonts w:hint="eastAsia" w:asciiTheme="majorEastAsia" w:hAnsiTheme="majorEastAsia" w:eastAsiaTheme="majorEastAsia" w:cstheme="majorEastAsia"/>
                <w:color w:val="000000" w:themeColor="text1"/>
                <w:sz w:val="28"/>
                <w:szCs w:val="28"/>
                <w14:textFill>
                  <w14:solidFill>
                    <w14:schemeClr w14:val="tx1"/>
                  </w14:solidFill>
                </w14:textFill>
              </w:rPr>
              <w:t>博士</w:t>
            </w:r>
          </w:p>
        </w:tc>
        <w:tc>
          <w:tcPr>
            <w:tcW w:w="1719" w:type="dxa"/>
          </w:tcPr>
          <w:p>
            <w:pPr>
              <w:pStyle w:val="4"/>
              <w:rPr>
                <w:rFonts w:hint="eastAsia" w:ascii="宋体" w:hAnsi="宋体" w:eastAsia="宋体" w:cs="宋体"/>
                <w:b w:val="0"/>
                <w:bCs w:val="0"/>
                <w:color w:val="000000" w:themeColor="text1"/>
                <w:kern w:val="0"/>
                <w:sz w:val="24"/>
                <w14:textFill>
                  <w14:solidFill>
                    <w14:schemeClr w14:val="tx1"/>
                  </w14:solidFill>
                </w14:textFill>
              </w:rPr>
            </w:pPr>
            <w:r>
              <w:rPr>
                <w:rFonts w:hint="eastAsia" w:asciiTheme="majorEastAsia" w:hAnsiTheme="majorEastAsia" w:eastAsiaTheme="majorEastAsia" w:cstheme="majorEastAsia"/>
                <w:b w:val="0"/>
                <w:bCs w:val="0"/>
                <w:color w:val="000000" w:themeColor="text1"/>
                <w14:textFill>
                  <w14:solidFill>
                    <w14:schemeClr w14:val="tx1"/>
                  </w14:solidFill>
                </w14:textFill>
              </w:rPr>
              <w:t xml:space="preserve"> </w:t>
            </w:r>
            <w:r>
              <w:rPr>
                <w:rFonts w:hint="eastAsia" w:ascii="宋体" w:hAnsi="宋体" w:eastAsia="宋体" w:cs="宋体"/>
                <w:b w:val="0"/>
                <w:bCs w:val="0"/>
                <w:color w:val="000000" w:themeColor="text1"/>
                <w:lang w:val="en-US" w:eastAsia="zh-CN"/>
                <w14:textFill>
                  <w14:solidFill>
                    <w14:schemeClr w14:val="tx1"/>
                  </w14:solidFill>
                </w14:textFill>
              </w:rPr>
              <w:t>21</w:t>
            </w:r>
            <w:r>
              <w:rPr>
                <w:rFonts w:hint="eastAsia" w:ascii="宋体" w:hAnsi="宋体" w:eastAsia="宋体" w:cs="宋体"/>
                <w:b w:val="0"/>
                <w:bCs w:val="0"/>
                <w:color w:val="000000" w:themeColor="text1"/>
                <w14:textFill>
                  <w14:solidFill>
                    <w14:schemeClr w14:val="tx1"/>
                  </w14:solidFill>
                </w14:textFill>
              </w:rPr>
              <w:t>-2</w:t>
            </w:r>
            <w:r>
              <w:rPr>
                <w:rFonts w:hint="eastAsia" w:ascii="宋体" w:hAnsi="宋体" w:eastAsia="宋体" w:cs="宋体"/>
                <w:b w:val="0"/>
                <w:bCs w:val="0"/>
                <w:color w:val="000000" w:themeColor="text1"/>
                <w:lang w:val="en-US" w:eastAsia="zh-CN"/>
                <w14:textFill>
                  <w14:solidFill>
                    <w14:schemeClr w14:val="tx1"/>
                  </w14:solidFill>
                </w14:textFill>
              </w:rPr>
              <w:t>6</w:t>
            </w:r>
            <w:r>
              <w:rPr>
                <w:rFonts w:hint="eastAsia" w:ascii="宋体" w:hAnsi="宋体" w:eastAsia="宋体" w:cs="宋体"/>
                <w:b w:val="0"/>
                <w:bCs w:val="0"/>
                <w:color w:val="000000" w:themeColor="text1"/>
                <w14:textFill>
                  <w14:solidFill>
                    <w14:schemeClr w14:val="tx1"/>
                  </w14:solidFill>
                </w14:textFill>
              </w:rPr>
              <w:t>万元</w:t>
            </w:r>
            <w:r>
              <w:rPr>
                <w:rFonts w:hint="eastAsia" w:ascii="宋体" w:hAnsi="宋体" w:eastAsia="宋体" w:cs="宋体"/>
                <w:b w:val="0"/>
                <w:bCs w:val="0"/>
                <w:color w:val="000000" w:themeColor="text1"/>
                <w:lang w:eastAsia="zh-CN"/>
                <w14:textFill>
                  <w14:solidFill>
                    <w14:schemeClr w14:val="tx1"/>
                  </w14:solidFill>
                </w14:textFill>
              </w:rPr>
              <w:t>（自然学科</w:t>
            </w:r>
            <w:r>
              <w:rPr>
                <w:rFonts w:hint="eastAsia" w:ascii="宋体" w:hAnsi="宋体" w:eastAsia="宋体" w:cs="宋体"/>
                <w:b w:val="0"/>
                <w:bCs w:val="0"/>
                <w:color w:val="000000" w:themeColor="text1"/>
                <w:lang w:val="en-US" w:eastAsia="zh-CN"/>
                <w14:textFill>
                  <w14:solidFill>
                    <w14:schemeClr w14:val="tx1"/>
                  </w14:solidFill>
                </w14:textFill>
              </w:rPr>
              <w:t>,</w:t>
            </w:r>
            <w:r>
              <w:rPr>
                <w:rFonts w:hint="eastAsia" w:ascii="宋体" w:hAnsi="宋体" w:eastAsia="宋体" w:cs="宋体"/>
                <w:b w:val="0"/>
                <w:bCs w:val="0"/>
                <w:color w:val="000000" w:themeColor="text1"/>
                <w:kern w:val="0"/>
                <w:sz w:val="24"/>
                <w:lang w:val="en-US" w:eastAsia="zh-CN"/>
                <w14:textFill>
                  <w14:solidFill>
                    <w14:schemeClr w14:val="tx1"/>
                  </w14:solidFill>
                </w14:textFill>
              </w:rPr>
              <w:t>税后</w:t>
            </w:r>
            <w:r>
              <w:rPr>
                <w:rFonts w:hint="eastAsia" w:ascii="宋体" w:hAnsi="宋体" w:eastAsia="宋体" w:cs="宋体"/>
                <w:b w:val="0"/>
                <w:bCs w:val="0"/>
                <w:color w:val="000000" w:themeColor="text1"/>
                <w:lang w:eastAsia="zh-CN"/>
                <w14:textFill>
                  <w14:solidFill>
                    <w14:schemeClr w14:val="tx1"/>
                  </w14:solidFill>
                </w14:textFill>
              </w:rPr>
              <w:t>）；</w:t>
            </w:r>
            <w:r>
              <w:rPr>
                <w:rFonts w:hint="eastAsia" w:ascii="宋体" w:hAnsi="宋体" w:eastAsia="宋体" w:cs="宋体"/>
                <w:b w:val="0"/>
                <w:bCs w:val="0"/>
                <w:color w:val="000000" w:themeColor="text1"/>
                <w:lang w:val="en-US" w:eastAsia="zh-CN"/>
                <w14:textFill>
                  <w14:solidFill>
                    <w14:schemeClr w14:val="tx1"/>
                  </w14:solidFill>
                </w14:textFill>
              </w:rPr>
              <w:t>16-21（人文学科,</w:t>
            </w:r>
            <w:r>
              <w:rPr>
                <w:rFonts w:hint="eastAsia" w:ascii="宋体" w:hAnsi="宋体" w:eastAsia="宋体" w:cs="宋体"/>
                <w:b w:val="0"/>
                <w:bCs w:val="0"/>
                <w:color w:val="000000" w:themeColor="text1"/>
                <w:kern w:val="0"/>
                <w:sz w:val="24"/>
                <w:lang w:val="en-US" w:eastAsia="zh-CN"/>
                <w14:textFill>
                  <w14:solidFill>
                    <w14:schemeClr w14:val="tx1"/>
                  </w14:solidFill>
                </w14:textFill>
              </w:rPr>
              <w:t>税后</w:t>
            </w:r>
            <w:r>
              <w:rPr>
                <w:rFonts w:hint="eastAsia" w:ascii="宋体" w:hAnsi="宋体" w:eastAsia="宋体" w:cs="宋体"/>
                <w:b w:val="0"/>
                <w:bCs w:val="0"/>
                <w:color w:val="000000" w:themeColor="text1"/>
                <w:lang w:val="en-US" w:eastAsia="zh-CN"/>
                <w14:textFill>
                  <w14:solidFill>
                    <w14:schemeClr w14:val="tx1"/>
                  </w14:solidFill>
                </w14:textFill>
              </w:rPr>
              <w:t>）</w:t>
            </w:r>
          </w:p>
          <w:p>
            <w:pPr>
              <w:pStyle w:val="4"/>
              <w:rPr>
                <w:rFonts w:asciiTheme="majorEastAsia" w:hAnsiTheme="majorEastAsia" w:eastAsiaTheme="majorEastAsia" w:cstheme="majorEastAsia"/>
                <w:b w:val="0"/>
                <w:bCs w:val="0"/>
                <w:color w:val="000000" w:themeColor="text1"/>
                <w14:textFill>
                  <w14:solidFill>
                    <w14:schemeClr w14:val="tx1"/>
                  </w14:solidFill>
                </w14:textFill>
              </w:rPr>
            </w:pPr>
            <w:r>
              <w:rPr>
                <w:rFonts w:hint="eastAsia" w:ascii="宋体" w:hAnsi="宋体" w:eastAsia="宋体" w:cs="宋体"/>
                <w:b w:val="0"/>
                <w:bCs w:val="0"/>
                <w:color w:val="000000" w:themeColor="text1"/>
                <w:kern w:val="0"/>
                <w:sz w:val="24"/>
                <w14:textFill>
                  <w14:solidFill>
                    <w14:schemeClr w14:val="tx1"/>
                  </w14:solidFill>
                </w14:textFill>
              </w:rPr>
              <w:t>（含当地政府发放的安家费及生活补贴</w:t>
            </w:r>
            <w:r>
              <w:rPr>
                <w:rFonts w:hint="eastAsia" w:ascii="宋体" w:hAnsi="宋体" w:eastAsia="宋体" w:cs="宋体"/>
                <w:b w:val="0"/>
                <w:bCs w:val="0"/>
                <w:color w:val="000000" w:themeColor="text1"/>
                <w:kern w:val="0"/>
                <w:sz w:val="24"/>
                <w:lang w:val="en-US" w:eastAsia="zh-CN"/>
                <w14:textFill>
                  <w14:solidFill>
                    <w14:schemeClr w14:val="tx1"/>
                  </w14:solidFill>
                </w14:textFill>
              </w:rPr>
              <w:t>,学校发放部分按12个月平均发放</w:t>
            </w:r>
            <w:r>
              <w:rPr>
                <w:rFonts w:hint="eastAsia" w:ascii="宋体" w:hAnsi="宋体" w:eastAsia="宋体" w:cs="宋体"/>
                <w:b w:val="0"/>
                <w:bCs w:val="0"/>
                <w:color w:val="000000" w:themeColor="text1"/>
                <w:kern w:val="0"/>
                <w:sz w:val="24"/>
                <w14:textFill>
                  <w14:solidFill>
                    <w14:schemeClr w14:val="tx1"/>
                  </w14:solidFill>
                </w14:textFill>
              </w:rPr>
              <w:t>）</w:t>
            </w:r>
          </w:p>
        </w:tc>
        <w:tc>
          <w:tcPr>
            <w:tcW w:w="1776" w:type="dxa"/>
            <w:vMerge w:val="continue"/>
          </w:tcPr>
          <w:p>
            <w:pPr>
              <w:spacing w:line="540" w:lineRule="exact"/>
              <w:rPr>
                <w:rFonts w:asciiTheme="majorEastAsia" w:hAnsiTheme="majorEastAsia" w:eastAsiaTheme="majorEastAsia" w:cstheme="majorEastAsia"/>
                <w:color w:val="000000" w:themeColor="text1"/>
                <w:sz w:val="24"/>
                <w14:textFill>
                  <w14:solidFill>
                    <w14:schemeClr w14:val="tx1"/>
                  </w14:solidFill>
                </w14:textFill>
              </w:rPr>
            </w:pPr>
          </w:p>
        </w:tc>
        <w:tc>
          <w:tcPr>
            <w:tcW w:w="2610" w:type="dxa"/>
          </w:tcPr>
          <w:p>
            <w:pPr>
              <w:spacing w:line="540" w:lineRule="exact"/>
              <w:rPr>
                <w:rFonts w:hint="eastAsia" w:asciiTheme="majorEastAsia" w:hAnsiTheme="majorEastAsia" w:eastAsiaTheme="majorEastAsia" w:cstheme="majorEastAsia"/>
                <w:color w:val="000000" w:themeColor="text1"/>
                <w:sz w:val="24"/>
                <w14:textFill>
                  <w14:solidFill>
                    <w14:schemeClr w14:val="tx1"/>
                  </w14:solidFill>
                </w14:textFill>
              </w:rPr>
            </w:pPr>
          </w:p>
          <w:p>
            <w:pPr>
              <w:spacing w:line="540" w:lineRule="exact"/>
              <w:rPr>
                <w:rFonts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工资标准及校内绩效执行</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中级职称待遇（</w:t>
            </w:r>
            <w:r>
              <w:rPr>
                <w:rFonts w:hint="eastAsia" w:asciiTheme="majorEastAsia" w:hAnsiTheme="majorEastAsia" w:eastAsiaTheme="majorEastAsia" w:cstheme="majorEastAsia"/>
                <w:color w:val="000000" w:themeColor="text1"/>
                <w:sz w:val="24"/>
                <w14:textFill>
                  <w14:solidFill>
                    <w14:schemeClr w14:val="tx1"/>
                  </w14:solidFill>
                </w14:textFill>
              </w:rPr>
              <w:t>专</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十</w:t>
            </w:r>
            <w:r>
              <w:rPr>
                <w:rFonts w:hint="eastAsia" w:asciiTheme="majorEastAsia" w:hAnsiTheme="majorEastAsia" w:eastAsiaTheme="majorEastAsia" w:cstheme="majorEastAsia"/>
                <w:color w:val="000000" w:themeColor="text1"/>
                <w:sz w:val="24"/>
                <w14:textFill>
                  <w14:solidFill>
                    <w14:schemeClr w14:val="tx1"/>
                  </w14:solidFill>
                </w14:textFill>
              </w:rPr>
              <w:t>级</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w:t>
            </w:r>
          </w:p>
        </w:tc>
        <w:tc>
          <w:tcPr>
            <w:tcW w:w="1230" w:type="dxa"/>
            <w:vAlign w:val="center"/>
          </w:tcPr>
          <w:p>
            <w:pPr>
              <w:spacing w:line="540" w:lineRule="exact"/>
              <w:jc w:val="center"/>
              <w:rPr>
                <w:rFonts w:asciiTheme="majorEastAsia" w:hAnsiTheme="majorEastAsia" w:eastAsiaTheme="majorEastAsia" w:cstheme="majorEastAsia"/>
                <w:color w:val="000000" w:themeColor="text1"/>
                <w:sz w:val="21"/>
                <w:szCs w:val="21"/>
                <w14:textFill>
                  <w14:solidFill>
                    <w14:schemeClr w14:val="tx1"/>
                  </w14:solidFill>
                </w14:textFill>
              </w:rPr>
            </w:pPr>
            <w:r>
              <w:rPr>
                <w:rFonts w:hint="eastAsia" w:asciiTheme="majorEastAsia" w:hAnsiTheme="majorEastAsia" w:eastAsiaTheme="majorEastAsia" w:cstheme="majorEastAsia"/>
                <w:color w:val="000000" w:themeColor="text1"/>
                <w:sz w:val="21"/>
                <w:szCs w:val="21"/>
                <w:lang w:val="en-US" w:eastAsia="zh-CN"/>
                <w14:textFill>
                  <w14:solidFill>
                    <w14:schemeClr w14:val="tx1"/>
                  </w14:solidFill>
                </w14:textFill>
              </w:rPr>
              <w:t>人文学科类：5-10万元；自然学科类：10-15万元</w:t>
            </w:r>
          </w:p>
        </w:tc>
      </w:tr>
    </w:tbl>
    <w:p>
      <w:pPr>
        <w:spacing w:line="54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注：</w:t>
      </w:r>
      <w:r>
        <w:rPr>
          <w:rFonts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rPr>
        <w:t>A类博士指海内外知名院校或一流学科（英国《泰晤士高等教育》世界高校排名前200名或中科院等三部门教研函〔2017〕2号《关于公布世界一流大学和一流学科建设高校及建设学科名单的通知》刊登的高校或学科）毕业的博士，且近三年在本学科权威刊物上以第一作者或通讯作者（不包括非第一排名的共同作者）发布学术论文，自然学科类被SCI收录论文总IF≥10或单篇IF≥5，人文学科类发表中文核心期刊及以上学术论文≥3 篇，其中CSSCI(不含扩展版)、SSCI、A﹠HCI 来源论文≥2 篇”。</w:t>
      </w:r>
    </w:p>
    <w:p>
      <w:pPr>
        <w:spacing w:line="540" w:lineRule="exact"/>
        <w:ind w:firstLine="480" w:firstLineChars="200"/>
        <w:rPr>
          <w:rFonts w:hint="eastAsia" w:asciiTheme="majorEastAsia" w:hAnsiTheme="majorEastAsia" w:eastAsiaTheme="majorEastAsia" w:cstheme="majorEastAsia"/>
          <w:sz w:val="24"/>
          <w:lang w:eastAsia="zh-CN"/>
        </w:rPr>
      </w:pPr>
      <w:r>
        <w:rPr>
          <w:rFonts w:hint="eastAsia" w:asciiTheme="majorEastAsia" w:hAnsiTheme="majorEastAsia" w:eastAsiaTheme="majorEastAsia" w:cstheme="majorEastAsia"/>
          <w:sz w:val="24"/>
          <w:lang w:eastAsia="zh-CN"/>
        </w:rPr>
        <w:t>特别优秀的人才不受上述限制，采用一事一议，具体面议。</w:t>
      </w:r>
    </w:p>
    <w:p>
      <w:pPr>
        <w:widowControl/>
        <w:spacing w:line="540" w:lineRule="exact"/>
        <w:ind w:firstLine="562" w:firstLineChars="200"/>
        <w:jc w:val="left"/>
        <w:rPr>
          <w:rFonts w:asciiTheme="majorEastAsia" w:hAnsiTheme="majorEastAsia" w:eastAsiaTheme="majorEastAsia" w:cstheme="majorEastAsia"/>
          <w:b/>
          <w:bCs/>
          <w:kern w:val="0"/>
          <w:sz w:val="28"/>
          <w:szCs w:val="28"/>
        </w:rPr>
      </w:pPr>
      <w:r>
        <w:rPr>
          <w:rFonts w:hint="eastAsia" w:asciiTheme="majorEastAsia" w:hAnsiTheme="majorEastAsia" w:eastAsiaTheme="majorEastAsia" w:cstheme="majorEastAsia"/>
          <w:b/>
          <w:bCs/>
          <w:kern w:val="0"/>
          <w:sz w:val="28"/>
          <w:szCs w:val="28"/>
          <w:lang w:eastAsia="zh-CN"/>
        </w:rPr>
        <w:t>三</w:t>
      </w:r>
      <w:r>
        <w:rPr>
          <w:rFonts w:hint="eastAsia" w:asciiTheme="majorEastAsia" w:hAnsiTheme="majorEastAsia" w:eastAsiaTheme="majorEastAsia" w:cstheme="majorEastAsia"/>
          <w:b/>
          <w:bCs/>
          <w:kern w:val="0"/>
          <w:sz w:val="28"/>
          <w:szCs w:val="28"/>
        </w:rPr>
        <w:t>、通迅地址及联系方式：</w:t>
      </w:r>
    </w:p>
    <w:p>
      <w:pPr>
        <w:widowControl/>
        <w:spacing w:line="540" w:lineRule="exact"/>
        <w:ind w:firstLine="560"/>
        <w:jc w:val="left"/>
        <w:rPr>
          <w:rFonts w:asciiTheme="majorEastAsia" w:hAnsiTheme="majorEastAsia" w:eastAsiaTheme="majorEastAsia" w:cstheme="majorEastAsia"/>
          <w:kern w:val="0"/>
          <w:sz w:val="28"/>
          <w:szCs w:val="28"/>
        </w:rPr>
      </w:pPr>
      <w:r>
        <w:rPr>
          <w:rFonts w:hint="eastAsia" w:asciiTheme="majorEastAsia" w:hAnsiTheme="majorEastAsia" w:eastAsiaTheme="majorEastAsia" w:cstheme="majorEastAsia"/>
          <w:kern w:val="0"/>
          <w:sz w:val="28"/>
          <w:szCs w:val="28"/>
        </w:rPr>
        <w:t>地址：四川省泸州市龙马潭区香林路1段1号</w:t>
      </w:r>
      <w:r>
        <w:rPr>
          <w:rFonts w:hint="eastAsia" w:asciiTheme="majorEastAsia" w:hAnsiTheme="majorEastAsia" w:eastAsiaTheme="majorEastAsia" w:cstheme="majorEastAsia"/>
          <w:kern w:val="0"/>
          <w:sz w:val="28"/>
          <w:szCs w:val="28"/>
          <w:lang w:eastAsia="zh-CN"/>
        </w:rPr>
        <w:t>德诚楼</w:t>
      </w:r>
      <w:r>
        <w:rPr>
          <w:rFonts w:hint="eastAsia" w:asciiTheme="majorEastAsia" w:hAnsiTheme="majorEastAsia" w:eastAsiaTheme="majorEastAsia" w:cstheme="majorEastAsia"/>
          <w:kern w:val="0"/>
          <w:sz w:val="28"/>
          <w:szCs w:val="28"/>
          <w:lang w:val="en-US" w:eastAsia="zh-CN"/>
        </w:rPr>
        <w:t>7</w:t>
      </w:r>
      <w:r>
        <w:rPr>
          <w:rFonts w:hint="eastAsia" w:asciiTheme="majorEastAsia" w:hAnsiTheme="majorEastAsia" w:eastAsiaTheme="majorEastAsia" w:cstheme="majorEastAsia"/>
          <w:kern w:val="0"/>
          <w:sz w:val="28"/>
          <w:szCs w:val="28"/>
        </w:rPr>
        <w:t xml:space="preserve">楼西南医科大学人事处 </w:t>
      </w:r>
    </w:p>
    <w:p>
      <w:pPr>
        <w:widowControl/>
        <w:spacing w:line="540" w:lineRule="exact"/>
        <w:ind w:firstLine="560"/>
        <w:jc w:val="left"/>
        <w:rPr>
          <w:rFonts w:asciiTheme="majorEastAsia" w:hAnsiTheme="majorEastAsia" w:eastAsiaTheme="majorEastAsia" w:cstheme="majorEastAsia"/>
          <w:kern w:val="0"/>
          <w:sz w:val="28"/>
          <w:szCs w:val="28"/>
          <w:lang w:val="en-US"/>
        </w:rPr>
      </w:pPr>
      <w:r>
        <w:rPr>
          <w:rFonts w:hint="eastAsia" w:asciiTheme="majorEastAsia" w:hAnsiTheme="majorEastAsia" w:eastAsiaTheme="majorEastAsia" w:cstheme="majorEastAsia"/>
          <w:kern w:val="0"/>
          <w:sz w:val="28"/>
          <w:szCs w:val="28"/>
        </w:rPr>
        <w:t>电话：0830-3160509       　　联系人：</w:t>
      </w:r>
      <w:r>
        <w:rPr>
          <w:rFonts w:hint="eastAsia" w:asciiTheme="majorEastAsia" w:hAnsiTheme="majorEastAsia" w:eastAsiaTheme="majorEastAsia" w:cstheme="majorEastAsia"/>
          <w:kern w:val="0"/>
          <w:sz w:val="28"/>
          <w:szCs w:val="28"/>
          <w:lang w:val="en-US" w:eastAsia="zh-CN"/>
        </w:rPr>
        <w:t>杨老师/文老师</w:t>
      </w:r>
    </w:p>
    <w:p>
      <w:pPr>
        <w:widowControl/>
        <w:spacing w:line="540" w:lineRule="exact"/>
        <w:ind w:firstLine="560"/>
        <w:jc w:val="left"/>
        <w:rPr>
          <w:rFonts w:hint="eastAsia" w:asciiTheme="majorEastAsia" w:hAnsiTheme="majorEastAsia" w:eastAsiaTheme="majorEastAsia" w:cstheme="majorEastAsia"/>
          <w:kern w:val="0"/>
          <w:sz w:val="28"/>
          <w:szCs w:val="28"/>
        </w:rPr>
      </w:pPr>
      <w:r>
        <w:rPr>
          <w:rFonts w:hint="eastAsia" w:asciiTheme="majorEastAsia" w:hAnsiTheme="majorEastAsia" w:eastAsiaTheme="majorEastAsia" w:cstheme="majorEastAsia"/>
          <w:kern w:val="0"/>
          <w:sz w:val="28"/>
          <w:szCs w:val="28"/>
        </w:rPr>
        <w:t>电子邮箱:</w:t>
      </w:r>
      <w:r>
        <w:rPr>
          <w:rFonts w:hint="eastAsia" w:asciiTheme="majorEastAsia" w:hAnsiTheme="majorEastAsia" w:eastAsiaTheme="majorEastAsia" w:cstheme="majorEastAsia"/>
          <w:kern w:val="0"/>
          <w:sz w:val="28"/>
          <w:szCs w:val="28"/>
          <w:lang w:val="en-US" w:eastAsia="zh-CN"/>
        </w:rPr>
        <w:t>hr@swmu.edu.cn抄送xnykzp@126.com （邮件标题：高层次人才网+姓名+专业+学历+毕业院校）</w:t>
      </w:r>
      <w:r>
        <w:rPr>
          <w:rFonts w:hint="eastAsia" w:asciiTheme="majorEastAsia" w:hAnsiTheme="majorEastAsia" w:eastAsiaTheme="majorEastAsia" w:cstheme="majorEastAsia"/>
          <w:kern w:val="0"/>
          <w:sz w:val="28"/>
          <w:szCs w:val="28"/>
        </w:rPr>
        <w:t>　　　</w:t>
      </w:r>
    </w:p>
    <w:p>
      <w:pPr>
        <w:widowControl/>
        <w:spacing w:line="540" w:lineRule="exact"/>
        <w:ind w:firstLine="560"/>
        <w:jc w:val="left"/>
        <w:rPr>
          <w:rFonts w:hint="eastAsia" w:ascii="宋体" w:hAnsi="宋体" w:cs="宋体"/>
          <w:color w:val="000000"/>
          <w:kern w:val="0"/>
          <w:sz w:val="28"/>
          <w:szCs w:val="28"/>
        </w:rPr>
      </w:pPr>
      <w:r>
        <w:rPr>
          <w:rFonts w:hint="eastAsia" w:ascii="宋体" w:hAnsi="宋体" w:cs="宋体"/>
          <w:color w:val="000000"/>
          <w:kern w:val="0"/>
          <w:sz w:val="28"/>
          <w:szCs w:val="28"/>
        </w:rPr>
        <w:t>邮　编：646000</w:t>
      </w:r>
    </w:p>
    <w:p>
      <w:pPr>
        <w:widowControl/>
        <w:spacing w:line="240" w:lineRule="auto"/>
        <w:ind w:firstLine="560"/>
        <w:jc w:val="left"/>
        <w:rPr>
          <w:rFonts w:hint="eastAsia" w:ascii="宋体" w:hAnsi="宋体" w:cs="宋体" w:eastAsiaTheme="minorEastAsia"/>
          <w:color w:val="000000"/>
          <w:kern w:val="0"/>
          <w:sz w:val="28"/>
          <w:szCs w:val="28"/>
          <w:lang w:eastAsia="zh-CN"/>
        </w:rPr>
      </w:pPr>
      <w:r>
        <w:rPr>
          <w:rFonts w:hint="eastAsia" w:ascii="宋体" w:hAnsi="宋体" w:cs="宋体" w:eastAsiaTheme="minorEastAsia"/>
          <w:color w:val="000000"/>
          <w:kern w:val="0"/>
          <w:sz w:val="28"/>
          <w:szCs w:val="28"/>
          <w:lang w:eastAsia="zh-CN"/>
        </w:rPr>
        <w:drawing>
          <wp:inline distT="0" distB="0" distL="114300" distR="114300">
            <wp:extent cx="2106295" cy="2106295"/>
            <wp:effectExtent l="0" t="0" r="8255" b="8255"/>
            <wp:docPr id="1" name="图片 1" descr="学校官网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校官网二维码"/>
                    <pic:cNvPicPr>
                      <a:picLocks noChangeAspect="1"/>
                    </pic:cNvPicPr>
                  </pic:nvPicPr>
                  <pic:blipFill>
                    <a:blip r:embed="rId4"/>
                    <a:stretch>
                      <a:fillRect/>
                    </a:stretch>
                  </pic:blipFill>
                  <pic:spPr>
                    <a:xfrm>
                      <a:off x="0" y="0"/>
                      <a:ext cx="2106295" cy="2106295"/>
                    </a:xfrm>
                    <a:prstGeom prst="rect">
                      <a:avLst/>
                    </a:prstGeom>
                  </pic:spPr>
                </pic:pic>
              </a:graphicData>
            </a:graphic>
          </wp:inline>
        </w:drawing>
      </w:r>
      <w:r>
        <w:rPr>
          <w:rFonts w:hint="eastAsia" w:ascii="宋体" w:hAnsi="宋体" w:cs="宋体"/>
          <w:color w:val="000000"/>
          <w:kern w:val="0"/>
          <w:sz w:val="28"/>
          <w:szCs w:val="28"/>
          <w:lang w:val="en-US" w:eastAsia="zh-CN"/>
        </w:rPr>
        <w:t xml:space="preserve">       </w:t>
      </w:r>
      <w:r>
        <w:rPr>
          <w:rFonts w:hint="eastAsia" w:ascii="宋体" w:hAnsi="宋体" w:cs="宋体" w:eastAsiaTheme="minorEastAsia"/>
          <w:color w:val="000000"/>
          <w:kern w:val="0"/>
          <w:sz w:val="28"/>
          <w:szCs w:val="28"/>
          <w:lang w:eastAsia="zh-CN"/>
        </w:rPr>
        <w:drawing>
          <wp:inline distT="0" distB="0" distL="114300" distR="114300">
            <wp:extent cx="2134235" cy="2134235"/>
            <wp:effectExtent l="0" t="0" r="18415" b="18415"/>
            <wp:docPr id="2" name="图片 2" descr="人事处官网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人事处官网二维码"/>
                    <pic:cNvPicPr>
                      <a:picLocks noChangeAspect="1"/>
                    </pic:cNvPicPr>
                  </pic:nvPicPr>
                  <pic:blipFill>
                    <a:blip r:embed="rId5"/>
                    <a:stretch>
                      <a:fillRect/>
                    </a:stretch>
                  </pic:blipFill>
                  <pic:spPr>
                    <a:xfrm>
                      <a:off x="0" y="0"/>
                      <a:ext cx="2134235" cy="2134235"/>
                    </a:xfrm>
                    <a:prstGeom prst="rect">
                      <a:avLst/>
                    </a:prstGeom>
                  </pic:spPr>
                </pic:pic>
              </a:graphicData>
            </a:graphic>
          </wp:inline>
        </w:drawing>
      </w:r>
    </w:p>
    <w:p>
      <w:pPr>
        <w:widowControl/>
        <w:spacing w:line="240" w:lineRule="auto"/>
        <w:ind w:firstLine="560"/>
        <w:jc w:val="left"/>
        <w:rPr>
          <w:rFonts w:hint="eastAsia" w:ascii="宋体" w:hAnsi="宋体" w:cs="宋体"/>
          <w:color w:val="000000"/>
          <w:kern w:val="0"/>
          <w:sz w:val="28"/>
          <w:szCs w:val="28"/>
        </w:rPr>
      </w:pPr>
      <w:r>
        <w:rPr>
          <w:rFonts w:hint="eastAsia" w:ascii="宋体" w:hAnsi="宋体" w:cs="宋体"/>
          <w:color w:val="000000"/>
          <w:kern w:val="0"/>
          <w:sz w:val="28"/>
          <w:szCs w:val="28"/>
          <w:lang w:val="en-US" w:eastAsia="zh-CN"/>
        </w:rPr>
        <w:t xml:space="preserve">    </w:t>
      </w:r>
      <w:r>
        <w:rPr>
          <w:rFonts w:hint="eastAsia" w:ascii="宋体" w:hAnsi="宋体" w:cs="宋体"/>
          <w:b/>
          <w:bCs/>
          <w:color w:val="000000"/>
          <w:kern w:val="0"/>
          <w:sz w:val="28"/>
          <w:szCs w:val="28"/>
          <w:lang w:val="en-US" w:eastAsia="zh-CN"/>
        </w:rPr>
        <w:t xml:space="preserve">   学校官网                       人事处官网</w:t>
      </w:r>
    </w:p>
    <w:p>
      <w:pPr>
        <w:spacing w:line="540" w:lineRule="exact"/>
        <w:ind w:firstLine="562" w:firstLineChars="200"/>
        <w:rPr>
          <w:rFonts w:hint="eastAsia"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lang w:val="en-US" w:eastAsia="zh-CN"/>
        </w:rPr>
        <w:t>四、来校考察路线：</w:t>
      </w:r>
    </w:p>
    <w:p>
      <w:pPr>
        <w:spacing w:line="540" w:lineRule="exact"/>
        <w:ind w:firstLine="560" w:firstLineChars="2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1、直飞泸州：若无直达泸州云龙机场的航线请选择其他方式。</w:t>
      </w:r>
    </w:p>
    <w:p>
      <w:pPr>
        <w:spacing w:line="540" w:lineRule="exact"/>
        <w:ind w:firstLine="560" w:firstLineChars="2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2、飞抵重庆：T2、T3航站楼乘至泸州的机场大巴专线，全天候滚动发车，购票及上车地点位于航站楼内，较方便；也可拼车到泸州，泸渝快的订票电话18980257979，票价150元/人，需在航班起飞前预定。</w:t>
      </w:r>
    </w:p>
    <w:p>
      <w:pPr>
        <w:spacing w:line="540" w:lineRule="exact"/>
        <w:ind w:firstLine="560" w:firstLineChars="2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3、乘高铁到重庆：重庆北站—隆昌北站（约40分钟），出隆昌北站后有直达泸州的客运车。也可拼车到泸，订票电话15182511188,票价50元/人。隆昌北站到泸州约1小时。</w:t>
      </w:r>
    </w:p>
    <w:p>
      <w:pPr>
        <w:spacing w:line="540" w:lineRule="exact"/>
        <w:ind w:firstLine="560" w:firstLineChars="2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4、飞抵成都：可选择坐客车直达泸州，也可在成都东站坐高铁到隆昌北站。</w:t>
      </w:r>
    </w:p>
    <w:p>
      <w:pPr>
        <w:spacing w:line="540" w:lineRule="exact"/>
        <w:ind w:firstLine="560" w:firstLineChars="2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5、乘高铁到成都：成都东站—隆昌北站（约50分钟），出隆昌北站后有直达泸州的客运车。也可拼车到泸，订票电话15182511188,票价50元/人。隆昌北站到泸州约1小时。</w:t>
      </w:r>
    </w:p>
    <w:p>
      <w:pPr>
        <w:spacing w:line="540" w:lineRule="exact"/>
        <w:ind w:firstLine="560" w:firstLineChars="200"/>
        <w:rPr>
          <w:rFonts w:hint="eastAsia" w:asciiTheme="majorEastAsia" w:hAnsiTheme="majorEastAsia" w:eastAsiaTheme="majorEastAsia" w:cstheme="majorEastAsia"/>
          <w:b w:val="0"/>
          <w:bCs w:val="0"/>
          <w:sz w:val="28"/>
          <w:szCs w:val="28"/>
          <w:lang w:val="en-US" w:eastAsia="zh-CN"/>
        </w:rPr>
      </w:pPr>
      <w:r>
        <w:rPr>
          <w:rFonts w:hint="eastAsia" w:asciiTheme="majorEastAsia" w:hAnsiTheme="majorEastAsia" w:eastAsiaTheme="majorEastAsia" w:cstheme="majorEastAsia"/>
          <w:sz w:val="28"/>
          <w:szCs w:val="28"/>
        </w:rPr>
        <w:t>来我校考察面试的博士，我校可报销一定的交通费及住宿费(须报销凭证)。具体请与我校工作人员联系。</w:t>
      </w:r>
    </w:p>
    <w:p>
      <w:pPr>
        <w:spacing w:line="540" w:lineRule="exact"/>
        <w:rPr>
          <w:rFonts w:hint="eastAsia"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lang w:val="en-US" w:eastAsia="zh-CN"/>
        </w:rPr>
        <w:t xml:space="preserve">                           </w:t>
      </w:r>
    </w:p>
    <w:p>
      <w:pPr>
        <w:spacing w:line="540" w:lineRule="exact"/>
        <w:rPr>
          <w:rFonts w:hint="eastAsia" w:asciiTheme="majorEastAsia" w:hAnsiTheme="majorEastAsia" w:eastAsiaTheme="majorEastAsia" w:cstheme="majorEastAsia"/>
          <w:b/>
          <w:bCs/>
          <w:sz w:val="28"/>
          <w:szCs w:val="28"/>
          <w:lang w:val="en-US" w:eastAsia="zh-CN"/>
        </w:rPr>
      </w:pP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rPr>
          <w:rFonts w:hint="eastAsia" w:eastAsia="宋体"/>
          <w:b/>
          <w:bCs/>
          <w:sz w:val="36"/>
          <w:szCs w:val="36"/>
          <w:lang w:val="en-US" w:eastAsia="zh-CN"/>
        </w:rPr>
      </w:pPr>
      <w:r>
        <w:rPr>
          <w:rFonts w:hint="eastAsia"/>
          <w:b/>
          <w:bCs/>
          <w:sz w:val="36"/>
          <w:szCs w:val="36"/>
          <w:lang w:val="en-US" w:eastAsia="zh-CN"/>
        </w:rPr>
        <w:t>西南医科大学附属口腔医院2019年招聘简章</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textAlignment w:val="auto"/>
        <w:outlineLvl w:val="9"/>
        <w:rPr>
          <w:rFonts w:hint="eastAsia" w:eastAsia="宋体"/>
          <w:lang w:val="en-US" w:eastAsia="zh-CN"/>
        </w:rPr>
      </w:pPr>
      <w:r>
        <w:rPr>
          <w:rFonts w:hint="eastAsia"/>
          <w:lang w:val="en-US" w:eastAsia="zh-CN"/>
        </w:rPr>
        <w:t>一、医院简介</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textAlignment w:val="auto"/>
        <w:outlineLvl w:val="9"/>
      </w:pPr>
      <w:r>
        <w:t xml:space="preserve">西南医科大学口腔医学院·附属口腔医院前身是已有60多年历史的泸州医学院附属医院口腔科，1986年成立泸州医学院口腔医学系，2002年成立泸州医学院附属口腔医院，并实行院系合一，是四川省卫生计生委直属的三级甲等口腔专科医院，也是国家住院医师规范化培训基地、四川省首批专科医师规范化培训基地、四川省继续医学教育基地、四川省口腔医学会副会长单位和泸州市口腔医学会会长单位，是享誉川滇黔渝的口腔医疗、教学、科研中心。 </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textAlignment w:val="auto"/>
        <w:outlineLvl w:val="9"/>
      </w:pPr>
      <w:r>
        <w:t xml:space="preserve">医院拥有位于江阳南路的院本部和位于龙马潭区香林路的城北门诊部，编制床椅位170张。医院现有职工182人，其中高级职称专家25人，专任教师79名、博士8名、硕士59名，留学归国人员7人；高级职称人员占教师总数的32%，硕士及以上学位人员占教师总数的为84%。医院拥有四川省有突出贡献优秀专家、四川省卫生计生委有突出贡献中青年专家、四川省卫生计生委学术与技术带头人及后备人选、泸州市酒城英才、泸州市拔尖人才、泸州市学术技术带头人等大批优秀人才，多人担任国家级、省级学术专委会委员。中国工程院院士、著名口腔颌面外科专家邱蔚六以及周学东、赵銥民、王松灵等多位国内著名口腔医学专家为医院客座教授。医院对外交流活跃，先后与美国、日本、德国、香港等国家和地区建立有稳定的学术往来和友好合作关系。 </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textAlignment w:val="auto"/>
        <w:outlineLvl w:val="9"/>
      </w:pPr>
      <w:r>
        <w:t xml:space="preserve">医院科室设置齐全，现有牙体牙髓病科、牙周粘膜科、口腔颌面外科、口腔修复科、口腔正畸科、口腔预防保健科、儿童牙病科、口腔种植科、医疗美容科、急诊室及放射科、检验科、消毒供应室等12个临床及医技科室；开设有普通门诊、专家门诊、特需门诊、便民门诊等多层次服务。医院拥有口腔锥形束CT、ORTHPHOSXG5DS数字全景机、椅旁CAD/CAM系统、根管显微镜、手术显微镜、麻醉机及心电监护仪等先进医疗设备。 </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textAlignment w:val="auto"/>
        <w:outlineLvl w:val="9"/>
      </w:pPr>
      <w:r>
        <w:t xml:space="preserve">医院规范开展各种口腔疾病诊疗项目。其中，牙体牙髓病科开展的镍钛根管预备、根管三维清创、热牙胶充填；牙周粘膜病科开展的牙周病序列治疗、牙周再生手术；口腔修复科开展的复杂义齿修复、CAD/CAM全瓷冠桥修复、前牙美容修复术；口腔种植科开展的口腔颌面复杂种植诊疗技术；口腔颌面外科开展的头颈部肿瘤联合根治术、颜面大型组织缺损整复术、颅颌面畸形整复术；口腔正畸科开展的方丝弓矫治技术、舌侧矫治技术、隐形矫治技术、阻鼾术；儿童牙病科开展的乳磨牙金属预成冠修复术、前牙树脂冠套修复术等达到国内同级医院先进水平。 </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textAlignment w:val="auto"/>
        <w:outlineLvl w:val="9"/>
      </w:pPr>
      <w:r>
        <w:t xml:space="preserve">医院通过四川省数字化医院评审，拥有HIS、LIS、PACS等信息系统，能及时、动态提供关于医疗质量、安全、服务及费用等信息，医院拥有自助挂号、缴费、查询设备，开通了包括APP、微信、网站、电话等在内的多种预约挂号功能，门诊收费系统与泸州市医保系统联网，能够为患者提供方便、快捷、科学、标准的服务。 </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textAlignment w:val="auto"/>
        <w:outlineLvl w:val="9"/>
      </w:pPr>
      <w:r>
        <w:t xml:space="preserve">口腔医学专业是西南医科大学一本招生专业。具有口腔临床医学科学学位和口腔医学专业学位硕士授予权。现有在校本科生、研究生500余人。口腔医学院下设口腔内科学、口腔修复学、口腔正畸学、口腔颌面外科学、口腔预防与儿童牙病学5个教研室，"口腔医学"是"四川省特色专业"，"口腔临床医学"是四川省医学甲级重点学科、"口腔正畸学"、"口腔颌面外科学"为四川省医学甲级重点建设学科。《口腔内科学》、《口腔修复学》、《口腔正畸学》分别是四川省和学校精品课程。拥有口腔医学实验教学中心、口颌面修复重建与再生研究室两个教学科研机构，其中口腔医学实验教学中心是四川省实验教学示范中心。每年承担包括国家自然科学基金在内的各级各类科研课题40余项。 </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textAlignment w:val="auto"/>
        <w:outlineLvl w:val="9"/>
      </w:pPr>
      <w:r>
        <w:t xml:space="preserve">医院以"厚德精医、笃行至善"作为院训，坚持"完善品质、塑造品格、追求品位"的办院理念，目前，医院正在为实现"在国内具有重要影响的现代化口腔专科医院、在全国具有重要地位的多层次口腔卫生人才培养基地、在本学科具有重要成就的高水平口腔医学科研平台"的愿景而不懈努力！ </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textAlignment w:val="auto"/>
        <w:outlineLvl w:val="9"/>
        <w:rPr>
          <w:rFonts w:hint="eastAsia" w:eastAsia="宋体"/>
          <w:lang w:val="en-US" w:eastAsia="zh-CN"/>
        </w:rPr>
      </w:pPr>
      <w:r>
        <w:rPr>
          <w:rFonts w:hint="eastAsia"/>
          <w:lang w:val="en-US" w:eastAsia="zh-CN"/>
        </w:rPr>
        <w:t>二、招聘计划</w:t>
      </w:r>
    </w:p>
    <w:tbl>
      <w:tblPr>
        <w:tblStyle w:val="5"/>
        <w:tblW w:w="8445" w:type="dxa"/>
        <w:tblCellSpacing w:w="0" w:type="dxa"/>
        <w:tblInd w:w="-23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780"/>
        <w:gridCol w:w="1695"/>
        <w:gridCol w:w="1890"/>
        <w:gridCol w:w="585"/>
        <w:gridCol w:w="435"/>
        <w:gridCol w:w="420"/>
        <w:gridCol w:w="366"/>
        <w:gridCol w:w="1134"/>
        <w:gridCol w:w="114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780" w:type="dxa"/>
            <w:vMerge w:val="restart"/>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人才需求信息 </w:t>
            </w:r>
          </w:p>
        </w:tc>
        <w:tc>
          <w:tcPr>
            <w:tcW w:w="1695" w:type="dxa"/>
            <w:vMerge w:val="restart"/>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rPr>
                <w:rStyle w:val="8"/>
              </w:rPr>
              <w:t xml:space="preserve">需求岗位 </w:t>
            </w:r>
          </w:p>
        </w:tc>
        <w:tc>
          <w:tcPr>
            <w:tcW w:w="1890" w:type="dxa"/>
            <w:vMerge w:val="restart"/>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rPr>
                <w:rStyle w:val="8"/>
              </w:rPr>
              <w:t xml:space="preserve">需求专业 </w:t>
            </w:r>
          </w:p>
        </w:tc>
        <w:tc>
          <w:tcPr>
            <w:tcW w:w="585" w:type="dxa"/>
            <w:vMerge w:val="restart"/>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rPr>
                <w:rStyle w:val="8"/>
              </w:rPr>
              <w:t xml:space="preserve">需求人数 </w:t>
            </w:r>
          </w:p>
        </w:tc>
        <w:tc>
          <w:tcPr>
            <w:tcW w:w="1221" w:type="dxa"/>
            <w:gridSpan w:val="3"/>
            <w:vMerge w:val="restart"/>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rPr>
                <w:rStyle w:val="8"/>
              </w:rPr>
              <w:t xml:space="preserve">学历 </w:t>
            </w:r>
          </w:p>
        </w:tc>
        <w:tc>
          <w:tcPr>
            <w:tcW w:w="1134" w:type="dxa"/>
            <w:vMerge w:val="restart"/>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rPr>
                <w:rStyle w:val="8"/>
              </w:rPr>
              <w:t xml:space="preserve">相关要求 </w:t>
            </w:r>
          </w:p>
        </w:tc>
        <w:tc>
          <w:tcPr>
            <w:tcW w:w="1140" w:type="dxa"/>
            <w:vMerge w:val="restart"/>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rPr>
                <w:rStyle w:val="8"/>
              </w:rPr>
              <w:t xml:space="preserve">备注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780"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c>
          <w:tcPr>
            <w:tcW w:w="1695"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c>
          <w:tcPr>
            <w:tcW w:w="1890"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c>
          <w:tcPr>
            <w:tcW w:w="585"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c>
          <w:tcPr>
            <w:tcW w:w="1221" w:type="dxa"/>
            <w:gridSpan w:val="3"/>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c>
          <w:tcPr>
            <w:tcW w:w="1134"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c>
          <w:tcPr>
            <w:tcW w:w="1140"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780"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c>
          <w:tcPr>
            <w:tcW w:w="1695"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c>
          <w:tcPr>
            <w:tcW w:w="1890"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c>
          <w:tcPr>
            <w:tcW w:w="585"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c>
          <w:tcPr>
            <w:tcW w:w="435"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rPr>
                <w:rStyle w:val="8"/>
              </w:rPr>
              <w:t xml:space="preserve">博士 </w:t>
            </w:r>
          </w:p>
        </w:tc>
        <w:tc>
          <w:tcPr>
            <w:tcW w:w="420"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rPr>
                <w:rStyle w:val="8"/>
              </w:rPr>
              <w:t xml:space="preserve">硕士 </w:t>
            </w:r>
          </w:p>
        </w:tc>
        <w:tc>
          <w:tcPr>
            <w:tcW w:w="366"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rPr>
                <w:rStyle w:val="8"/>
              </w:rPr>
              <w:t xml:space="preserve">本科 </w:t>
            </w:r>
          </w:p>
        </w:tc>
        <w:tc>
          <w:tcPr>
            <w:tcW w:w="1134"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c>
          <w:tcPr>
            <w:tcW w:w="1140"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780"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c>
          <w:tcPr>
            <w:tcW w:w="1695" w:type="dxa"/>
            <w:vMerge w:val="restart"/>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口腔 </w:t>
            </w:r>
          </w:p>
        </w:tc>
        <w:tc>
          <w:tcPr>
            <w:tcW w:w="1890" w:type="dxa"/>
            <w:vMerge w:val="restart"/>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口腔类各专业（方向）、</w:t>
            </w:r>
            <w:r>
              <w:rPr>
                <w:u w:val="single"/>
              </w:rPr>
              <w:t>博士</w:t>
            </w:r>
          </w:p>
        </w:tc>
        <w:tc>
          <w:tcPr>
            <w:tcW w:w="585" w:type="dxa"/>
            <w:vMerge w:val="restart"/>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不限 </w:t>
            </w:r>
          </w:p>
        </w:tc>
        <w:tc>
          <w:tcPr>
            <w:tcW w:w="435" w:type="dxa"/>
            <w:vMerge w:val="restart"/>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 </w:t>
            </w:r>
          </w:p>
        </w:tc>
        <w:tc>
          <w:tcPr>
            <w:tcW w:w="420" w:type="dxa"/>
            <w:vMerge w:val="restart"/>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w:t>
            </w:r>
          </w:p>
        </w:tc>
        <w:tc>
          <w:tcPr>
            <w:tcW w:w="366" w:type="dxa"/>
            <w:vMerge w:val="restart"/>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w:t>
            </w:r>
          </w:p>
        </w:tc>
        <w:tc>
          <w:tcPr>
            <w:tcW w:w="1134" w:type="dxa"/>
            <w:vMerge w:val="restart"/>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w:t>
            </w:r>
          </w:p>
        </w:tc>
        <w:tc>
          <w:tcPr>
            <w:tcW w:w="1140" w:type="dxa"/>
            <w:vMerge w:val="restart"/>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解决事业编制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780"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c>
          <w:tcPr>
            <w:tcW w:w="1695"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c>
          <w:tcPr>
            <w:tcW w:w="1890"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c>
          <w:tcPr>
            <w:tcW w:w="585"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c>
          <w:tcPr>
            <w:tcW w:w="435"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c>
          <w:tcPr>
            <w:tcW w:w="420"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c>
          <w:tcPr>
            <w:tcW w:w="366"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c>
          <w:tcPr>
            <w:tcW w:w="1134"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c>
          <w:tcPr>
            <w:tcW w:w="1140"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780"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c>
          <w:tcPr>
            <w:tcW w:w="1695"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牙周黏膜病科医生 </w:t>
            </w:r>
          </w:p>
        </w:tc>
        <w:tc>
          <w:tcPr>
            <w:tcW w:w="1890"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口腔临床医学（牙周病或黏膜病方向） </w:t>
            </w:r>
          </w:p>
        </w:tc>
        <w:tc>
          <w:tcPr>
            <w:tcW w:w="585"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2</w:t>
            </w:r>
          </w:p>
        </w:tc>
        <w:tc>
          <w:tcPr>
            <w:tcW w:w="855" w:type="dxa"/>
            <w:gridSpan w:val="2"/>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2</w:t>
            </w:r>
          </w:p>
        </w:tc>
        <w:tc>
          <w:tcPr>
            <w:tcW w:w="366"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w:t>
            </w:r>
          </w:p>
        </w:tc>
        <w:tc>
          <w:tcPr>
            <w:tcW w:w="1134"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具有口腔执业医师资格证 </w:t>
            </w:r>
          </w:p>
        </w:tc>
        <w:tc>
          <w:tcPr>
            <w:tcW w:w="1140"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780"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c>
          <w:tcPr>
            <w:tcW w:w="1695"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牙体牙髓病科医生 </w:t>
            </w:r>
          </w:p>
        </w:tc>
        <w:tc>
          <w:tcPr>
            <w:tcW w:w="1890"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口腔临床医学（牙体牙髓方向） </w:t>
            </w:r>
          </w:p>
        </w:tc>
        <w:tc>
          <w:tcPr>
            <w:tcW w:w="585"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2</w:t>
            </w:r>
          </w:p>
        </w:tc>
        <w:tc>
          <w:tcPr>
            <w:tcW w:w="855" w:type="dxa"/>
            <w:gridSpan w:val="2"/>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2</w:t>
            </w:r>
          </w:p>
        </w:tc>
        <w:tc>
          <w:tcPr>
            <w:tcW w:w="366"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w:t>
            </w:r>
          </w:p>
        </w:tc>
        <w:tc>
          <w:tcPr>
            <w:tcW w:w="1134"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具有口腔执业医师资格证 </w:t>
            </w:r>
          </w:p>
        </w:tc>
        <w:tc>
          <w:tcPr>
            <w:tcW w:w="1140"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780"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c>
          <w:tcPr>
            <w:tcW w:w="1695"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口腔颌面外科（门诊）医生 </w:t>
            </w:r>
          </w:p>
        </w:tc>
        <w:tc>
          <w:tcPr>
            <w:tcW w:w="1890"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口腔临床医学（牙体牙髓方向） </w:t>
            </w:r>
          </w:p>
        </w:tc>
        <w:tc>
          <w:tcPr>
            <w:tcW w:w="585"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2</w:t>
            </w:r>
          </w:p>
        </w:tc>
        <w:tc>
          <w:tcPr>
            <w:tcW w:w="855" w:type="dxa"/>
            <w:gridSpan w:val="2"/>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2</w:t>
            </w:r>
          </w:p>
        </w:tc>
        <w:tc>
          <w:tcPr>
            <w:tcW w:w="366"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w:t>
            </w:r>
          </w:p>
        </w:tc>
        <w:tc>
          <w:tcPr>
            <w:tcW w:w="1134"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具有口腔执业医师资格证 </w:t>
            </w:r>
          </w:p>
        </w:tc>
        <w:tc>
          <w:tcPr>
            <w:tcW w:w="1140"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780"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c>
          <w:tcPr>
            <w:tcW w:w="1695"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口腔颌面外科（病房）医生 </w:t>
            </w:r>
          </w:p>
        </w:tc>
        <w:tc>
          <w:tcPr>
            <w:tcW w:w="1890"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口腔临床医学（口腔颌面外科方向） </w:t>
            </w:r>
          </w:p>
        </w:tc>
        <w:tc>
          <w:tcPr>
            <w:tcW w:w="585"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1</w:t>
            </w:r>
          </w:p>
        </w:tc>
        <w:tc>
          <w:tcPr>
            <w:tcW w:w="435"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1</w:t>
            </w:r>
          </w:p>
        </w:tc>
        <w:tc>
          <w:tcPr>
            <w:tcW w:w="420"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w:t>
            </w:r>
          </w:p>
        </w:tc>
        <w:tc>
          <w:tcPr>
            <w:tcW w:w="366"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w:t>
            </w:r>
          </w:p>
        </w:tc>
        <w:tc>
          <w:tcPr>
            <w:tcW w:w="1134"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具有口腔执业医师资格证 </w:t>
            </w:r>
          </w:p>
        </w:tc>
        <w:tc>
          <w:tcPr>
            <w:tcW w:w="1140"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780"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c>
          <w:tcPr>
            <w:tcW w:w="1695"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口腔修复科医生 </w:t>
            </w:r>
          </w:p>
        </w:tc>
        <w:tc>
          <w:tcPr>
            <w:tcW w:w="1890"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口腔临床医学（口腔修复学方向） </w:t>
            </w:r>
          </w:p>
        </w:tc>
        <w:tc>
          <w:tcPr>
            <w:tcW w:w="585"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2</w:t>
            </w:r>
          </w:p>
        </w:tc>
        <w:tc>
          <w:tcPr>
            <w:tcW w:w="855" w:type="dxa"/>
            <w:gridSpan w:val="2"/>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2</w:t>
            </w:r>
          </w:p>
        </w:tc>
        <w:tc>
          <w:tcPr>
            <w:tcW w:w="366"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w:t>
            </w:r>
          </w:p>
        </w:tc>
        <w:tc>
          <w:tcPr>
            <w:tcW w:w="1134"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具有口腔执业医师资格证 </w:t>
            </w:r>
          </w:p>
        </w:tc>
        <w:tc>
          <w:tcPr>
            <w:tcW w:w="1140"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780"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c>
          <w:tcPr>
            <w:tcW w:w="1695"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口腔种植科医生 </w:t>
            </w:r>
          </w:p>
        </w:tc>
        <w:tc>
          <w:tcPr>
            <w:tcW w:w="1890"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口腔临床医学（口腔种植学方向） </w:t>
            </w:r>
          </w:p>
        </w:tc>
        <w:tc>
          <w:tcPr>
            <w:tcW w:w="585"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2</w:t>
            </w:r>
          </w:p>
        </w:tc>
        <w:tc>
          <w:tcPr>
            <w:tcW w:w="855" w:type="dxa"/>
            <w:gridSpan w:val="2"/>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2</w:t>
            </w:r>
          </w:p>
        </w:tc>
        <w:tc>
          <w:tcPr>
            <w:tcW w:w="366"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w:t>
            </w:r>
          </w:p>
        </w:tc>
        <w:tc>
          <w:tcPr>
            <w:tcW w:w="1134"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具有口腔执业医师资格证 </w:t>
            </w:r>
          </w:p>
        </w:tc>
        <w:tc>
          <w:tcPr>
            <w:tcW w:w="1140"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780"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c>
          <w:tcPr>
            <w:tcW w:w="1695"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口腔预防保健科医生 </w:t>
            </w:r>
          </w:p>
        </w:tc>
        <w:tc>
          <w:tcPr>
            <w:tcW w:w="1890"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口腔临床医学（口腔内科学方向或口腔预防医学方向） </w:t>
            </w:r>
          </w:p>
        </w:tc>
        <w:tc>
          <w:tcPr>
            <w:tcW w:w="585"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2</w:t>
            </w:r>
          </w:p>
        </w:tc>
        <w:tc>
          <w:tcPr>
            <w:tcW w:w="855" w:type="dxa"/>
            <w:gridSpan w:val="2"/>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2</w:t>
            </w:r>
          </w:p>
        </w:tc>
        <w:tc>
          <w:tcPr>
            <w:tcW w:w="366"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w:t>
            </w:r>
          </w:p>
        </w:tc>
        <w:tc>
          <w:tcPr>
            <w:tcW w:w="1134"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具有口腔执业医师资格证 </w:t>
            </w:r>
          </w:p>
        </w:tc>
        <w:tc>
          <w:tcPr>
            <w:tcW w:w="1140"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780"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c>
          <w:tcPr>
            <w:tcW w:w="1695"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儿童口腔科医生 </w:t>
            </w:r>
          </w:p>
        </w:tc>
        <w:tc>
          <w:tcPr>
            <w:tcW w:w="1890"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口腔临床医学（儿童口腔学方向） </w:t>
            </w:r>
          </w:p>
        </w:tc>
        <w:tc>
          <w:tcPr>
            <w:tcW w:w="585"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2</w:t>
            </w:r>
          </w:p>
        </w:tc>
        <w:tc>
          <w:tcPr>
            <w:tcW w:w="855" w:type="dxa"/>
            <w:gridSpan w:val="2"/>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2</w:t>
            </w:r>
          </w:p>
        </w:tc>
        <w:tc>
          <w:tcPr>
            <w:tcW w:w="366"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w:t>
            </w:r>
          </w:p>
        </w:tc>
        <w:tc>
          <w:tcPr>
            <w:tcW w:w="1134"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具有口腔执业医师资格证 </w:t>
            </w:r>
          </w:p>
        </w:tc>
        <w:tc>
          <w:tcPr>
            <w:tcW w:w="1140"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780"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c>
          <w:tcPr>
            <w:tcW w:w="1695"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口腔放射医生 </w:t>
            </w:r>
          </w:p>
        </w:tc>
        <w:tc>
          <w:tcPr>
            <w:tcW w:w="1890"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放射医学或医学影像学 </w:t>
            </w:r>
          </w:p>
        </w:tc>
        <w:tc>
          <w:tcPr>
            <w:tcW w:w="585"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1</w:t>
            </w:r>
          </w:p>
        </w:tc>
        <w:tc>
          <w:tcPr>
            <w:tcW w:w="1221" w:type="dxa"/>
            <w:gridSpan w:val="3"/>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1</w:t>
            </w:r>
          </w:p>
        </w:tc>
        <w:tc>
          <w:tcPr>
            <w:tcW w:w="1134"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有执业资格证优先 </w:t>
            </w:r>
          </w:p>
        </w:tc>
        <w:tc>
          <w:tcPr>
            <w:tcW w:w="1140"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780" w:type="dxa"/>
            <w:vMerge w:val="continue"/>
            <w:noWrap w:val="0"/>
            <w:vAlign w:val="center"/>
          </w:tcPr>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rPr>
                <w:rFonts w:hint="eastAsia" w:ascii="宋体"/>
                <w:sz w:val="24"/>
                <w:szCs w:val="24"/>
              </w:rPr>
            </w:pPr>
          </w:p>
        </w:tc>
        <w:tc>
          <w:tcPr>
            <w:tcW w:w="1695"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口腔技术人员 </w:t>
            </w:r>
          </w:p>
        </w:tc>
        <w:tc>
          <w:tcPr>
            <w:tcW w:w="1890"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xml:space="preserve">口腔医学技术 </w:t>
            </w:r>
          </w:p>
        </w:tc>
        <w:tc>
          <w:tcPr>
            <w:tcW w:w="585"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1</w:t>
            </w:r>
          </w:p>
        </w:tc>
        <w:tc>
          <w:tcPr>
            <w:tcW w:w="1221" w:type="dxa"/>
            <w:gridSpan w:val="3"/>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1</w:t>
            </w:r>
          </w:p>
        </w:tc>
        <w:tc>
          <w:tcPr>
            <w:tcW w:w="1134"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w:t>
            </w:r>
          </w:p>
        </w:tc>
        <w:tc>
          <w:tcPr>
            <w:tcW w:w="1140" w:type="dxa"/>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jc w:val="center"/>
              <w:textAlignment w:val="auto"/>
              <w:outlineLvl w:val="9"/>
            </w:pPr>
            <w:r>
              <w:t> </w:t>
            </w:r>
          </w:p>
        </w:tc>
      </w:tr>
    </w:tbl>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textAlignment w:val="auto"/>
        <w:outlineLvl w:val="9"/>
      </w:pPr>
      <w:r>
        <w:t xml:space="preserve">凡来我院面试的硕士及以上学历学位的外地人员，我院将根据医院规定提供一定的车旅费补助。其他待遇及相关问题欢迎电话咨询。 </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textAlignment w:val="auto"/>
        <w:outlineLvl w:val="9"/>
        <w:rPr>
          <w:rFonts w:hint="eastAsia" w:eastAsia="宋体"/>
          <w:lang w:val="en-US" w:eastAsia="zh-CN"/>
        </w:rPr>
      </w:pPr>
      <w:r>
        <w:rPr>
          <w:rFonts w:hint="eastAsia"/>
          <w:lang w:val="en-US" w:eastAsia="zh-CN"/>
        </w:rPr>
        <w:t>三、联系方式</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textAlignment w:val="auto"/>
        <w:outlineLvl w:val="9"/>
      </w:pPr>
      <w:r>
        <w:t xml:space="preserve">请有意者及时与西南医科大学附属口腔医院组织人事科联系。 </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textAlignment w:val="auto"/>
        <w:outlineLvl w:val="9"/>
      </w:pPr>
      <w:r>
        <w:t xml:space="preserve">联系人：郭老师、伍老师 </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textAlignment w:val="auto"/>
        <w:outlineLvl w:val="9"/>
      </w:pPr>
      <w:r>
        <w:t>电话：0830-3101180</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20" w:lineRule="exact"/>
        <w:textAlignment w:val="auto"/>
        <w:outlineLvl w:val="9"/>
      </w:pPr>
      <w:r>
        <w:t>传真：0830-3102512</w:t>
      </w:r>
    </w:p>
    <w:p>
      <w:pPr>
        <w:pStyle w:val="4"/>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Autospacing="0" w:line="420" w:lineRule="exact"/>
        <w:textAlignment w:val="auto"/>
        <w:outlineLvl w:val="9"/>
      </w:pPr>
      <w:r>
        <w:t>mail：</w:t>
      </w:r>
      <w:r>
        <w:fldChar w:fldCharType="begin"/>
      </w:r>
      <w:r>
        <w:instrText xml:space="preserve"> HYPERLINK "mailto:lykqrsk@163.com" </w:instrText>
      </w:r>
      <w:r>
        <w:fldChar w:fldCharType="separate"/>
      </w:r>
      <w:r>
        <w:t>lykqrsk@163.com</w:t>
      </w:r>
      <w:r>
        <w:fldChar w:fldCharType="end"/>
      </w:r>
      <w:r>
        <w:rPr>
          <w:rFonts w:hint="eastAsia"/>
          <w:lang w:val="en-US" w:eastAsia="zh-CN"/>
        </w:rPr>
        <w:t xml:space="preserve"> 抄送xnykzp@126.com （邮件标题：高层次人才网+姓名+专业+学历+毕业院校）</w:t>
      </w:r>
      <w:r>
        <w:rPr>
          <w:rFonts w:hint="eastAsia"/>
        </w:rPr>
        <w:t>　　</w:t>
      </w:r>
    </w:p>
    <w:p>
      <w:pPr>
        <w:pStyle w:val="4"/>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Autospacing="0" w:line="420" w:lineRule="exact"/>
        <w:textAlignment w:val="auto"/>
        <w:outlineLvl w:val="9"/>
      </w:pPr>
      <w:r>
        <w:t xml:space="preserve">地址：四川省泸州市江阳区江阳西路2号 </w:t>
      </w:r>
    </w:p>
    <w:p>
      <w:pPr>
        <w:keepNext w:val="0"/>
        <w:keepLines w:val="0"/>
        <w:pageBreakBefore w:val="0"/>
        <w:kinsoku/>
        <w:wordWrap/>
        <w:overflowPunct/>
        <w:topLinePunct w:val="0"/>
        <w:autoSpaceDE/>
        <w:autoSpaceDN/>
        <w:bidi w:val="0"/>
        <w:adjustRightInd/>
        <w:snapToGrid/>
        <w:spacing w:beforeAutospacing="0" w:afterAutospacing="0" w:line="420" w:lineRule="exact"/>
        <w:textAlignment w:val="auto"/>
        <w:outlineLvl w:val="9"/>
      </w:pPr>
    </w:p>
    <w:p>
      <w:pPr>
        <w:spacing w:line="360" w:lineRule="auto"/>
        <w:jc w:val="center"/>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西南医科大学附属医院2019年博士招聘简章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黑体" w:hAnsi="黑体" w:eastAsia="黑体" w:cs="黑体"/>
          <w:b w:val="0"/>
          <w:bCs w:val="0"/>
          <w:sz w:val="40"/>
          <w:szCs w:val="40"/>
          <w:lang w:val="en-US" w:eastAsia="zh-CN"/>
        </w:rPr>
      </w:pPr>
      <w:r>
        <w:rPr>
          <w:rFonts w:hint="eastAsia" w:eastAsia="宋体"/>
          <w:color w:val="3D3D3D"/>
          <w:kern w:val="0"/>
          <w:sz w:val="32"/>
          <w:szCs w:val="32"/>
          <w:lang w:eastAsia="zh-CN"/>
        </w:rPr>
        <w:drawing>
          <wp:inline distT="0" distB="0" distL="114300" distR="114300">
            <wp:extent cx="5272405" cy="3197860"/>
            <wp:effectExtent l="0" t="0" r="4445" b="2540"/>
            <wp:docPr id="4" name="图片 1" descr="3 附院西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3 附院西南"/>
                    <pic:cNvPicPr>
                      <a:picLocks noChangeAspect="1"/>
                    </pic:cNvPicPr>
                  </pic:nvPicPr>
                  <pic:blipFill>
                    <a:blip r:embed="rId6"/>
                    <a:stretch>
                      <a:fillRect/>
                    </a:stretch>
                  </pic:blipFill>
                  <pic:spPr>
                    <a:xfrm>
                      <a:off x="0" y="0"/>
                      <a:ext cx="5272405" cy="31978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仿宋" w:hAnsi="仿宋" w:eastAsia="仿宋" w:cs="仿宋"/>
          <w:b/>
          <w:color w:val="000000"/>
          <w:sz w:val="24"/>
          <w:szCs w:val="24"/>
          <w:lang w:eastAsia="zh-CN"/>
        </w:rPr>
      </w:pPr>
      <w:r>
        <w:rPr>
          <w:rFonts w:hint="eastAsia" w:ascii="仿宋" w:hAnsi="仿宋" w:eastAsia="仿宋" w:cs="仿宋"/>
          <w:b/>
          <w:color w:val="000000"/>
          <w:sz w:val="24"/>
          <w:szCs w:val="24"/>
          <w:lang w:val="en-US" w:eastAsia="zh-CN"/>
        </w:rPr>
        <w:t>一、医院简介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Cs/>
          <w:color w:val="000000"/>
          <w:sz w:val="24"/>
          <w:szCs w:val="24"/>
          <w:lang w:eastAsia="zh-CN"/>
        </w:rPr>
      </w:pPr>
      <w:r>
        <w:rPr>
          <w:rFonts w:hint="eastAsia" w:ascii="仿宋" w:hAnsi="仿宋" w:eastAsia="仿宋" w:cs="仿宋"/>
          <w:bCs/>
          <w:color w:val="000000"/>
          <w:sz w:val="24"/>
          <w:szCs w:val="24"/>
          <w:lang w:eastAsia="zh-CN"/>
        </w:rPr>
        <w:t>西南医科大学附属医院位于四川省泸州市，服务于川滇黔渝四省市结合区域近4000万群众。医院始建于1950年8月，编制床位4200张，设有临床、医技科室75个，年门诊人次160余万，急诊人次11余万，出院人次12余万，是四川省卫生和计划生育委员会直属三甲综合医院，集医疗、教学、科研、预防和康复为一体的综合性临床教学医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Cs/>
          <w:color w:val="000000"/>
          <w:sz w:val="24"/>
          <w:szCs w:val="24"/>
          <w:lang w:eastAsia="zh-CN"/>
        </w:rPr>
      </w:pPr>
      <w:r>
        <w:rPr>
          <w:rFonts w:hint="eastAsia" w:ascii="仿宋" w:hAnsi="仿宋" w:eastAsia="仿宋" w:cs="仿宋"/>
          <w:bCs/>
          <w:color w:val="000000"/>
          <w:sz w:val="24"/>
          <w:szCs w:val="24"/>
          <w:lang w:eastAsia="zh-CN"/>
        </w:rPr>
        <w:t>医院目前在职职工4100余人，其中专业技术人员3700余人，博士、硕士1200余人，高级职称500余人，省级学术和技术带头人8人、后备人才67人，享受国务院政府津贴专家16人。有在研科研项目1700余项，每年发表文章1000余篇，获得国家科技进步二等奖1项，中华医学科技奖4项，华夏医学奖2项，四川省科技进步一等奖5项。2017年临床医学专业ESI排名进入前0.69%，在香港艾力彼医院排名中，连续6年保持中国地级市西部医院竞争力第一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Cs/>
          <w:color w:val="000000"/>
          <w:sz w:val="24"/>
          <w:szCs w:val="24"/>
          <w:lang w:eastAsia="zh-CN"/>
        </w:rPr>
      </w:pPr>
      <w:r>
        <w:rPr>
          <w:rFonts w:hint="eastAsia" w:ascii="仿宋" w:hAnsi="仿宋" w:eastAsia="仿宋" w:cs="仿宋"/>
          <w:bCs/>
          <w:color w:val="000000"/>
          <w:sz w:val="24"/>
          <w:szCs w:val="24"/>
          <w:lang w:eastAsia="zh-CN"/>
        </w:rPr>
        <w:t>医院现为川滇黔渝结合部的危急重症及疑难疾病诊疗中心，建有24个国家、省级重点（建设）专科，院内外博士、硕士研究生导师近400人。拥有国家药物临床试验机构、核医学与分子影像四川省重点实验室、四川省神经外科临床医学研究中心、生物样本库、PI研究室等一批科学研究平台，与澳门大学、西南医科大学联合成立精准医学研究中心，建有省级院士工作站，获得国家脑血管疾病疑难病症诊治工程项目。不断加强技术交流与合作，与英国赫尔大学、日本昭和医科大学以及金泽医科大学、德国弗莱堡大学等建立了稳定的学术往来和友好合作关系。</w:t>
      </w:r>
    </w:p>
    <w:p>
      <w:pPr>
        <w:spacing w:line="360" w:lineRule="auto"/>
        <w:rPr>
          <w:rFonts w:hint="eastAsia" w:ascii="仿宋" w:hAnsi="仿宋" w:eastAsia="仿宋" w:cs="仿宋"/>
          <w:bCs/>
          <w:color w:val="000000"/>
          <w:sz w:val="24"/>
          <w:szCs w:val="24"/>
          <w:lang w:eastAsia="zh-CN"/>
        </w:rPr>
      </w:pPr>
      <w:r>
        <w:rPr>
          <w:rFonts w:hint="eastAsia" w:ascii="仿宋" w:hAnsi="仿宋" w:eastAsia="仿宋" w:cs="仿宋"/>
          <w:bCs/>
          <w:color w:val="000000"/>
          <w:sz w:val="24"/>
          <w:szCs w:val="24"/>
          <w:lang w:eastAsia="zh-CN"/>
        </w:rPr>
        <w:drawing>
          <wp:inline distT="0" distB="0" distL="114300" distR="114300">
            <wp:extent cx="5267325" cy="2409825"/>
            <wp:effectExtent l="0" t="0" r="9525" b="9525"/>
            <wp:docPr id="3" name="图片 2" descr="7 西南康健中心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7 西南康健中心规划图"/>
                    <pic:cNvPicPr>
                      <a:picLocks noChangeAspect="1"/>
                    </pic:cNvPicPr>
                  </pic:nvPicPr>
                  <pic:blipFill>
                    <a:blip r:embed="rId7"/>
                    <a:stretch>
                      <a:fillRect/>
                    </a:stretch>
                  </pic:blipFill>
                  <pic:spPr>
                    <a:xfrm>
                      <a:off x="0" y="0"/>
                      <a:ext cx="5267325" cy="2409825"/>
                    </a:xfrm>
                    <a:prstGeom prst="rect">
                      <a:avLst/>
                    </a:prstGeom>
                    <a:noFill/>
                    <a:ln>
                      <a:noFill/>
                    </a:ln>
                  </pic:spPr>
                </pic:pic>
              </a:graphicData>
            </a:graphic>
          </wp:inline>
        </w:drawing>
      </w:r>
    </w:p>
    <w:p>
      <w:pPr>
        <w:spacing w:line="360" w:lineRule="auto"/>
        <w:ind w:firstLine="480" w:firstLineChars="200"/>
        <w:rPr>
          <w:rFonts w:hint="eastAsia" w:ascii="仿宋" w:hAnsi="仿宋" w:eastAsia="仿宋" w:cs="仿宋"/>
          <w:bCs/>
          <w:color w:val="000000"/>
          <w:sz w:val="24"/>
          <w:szCs w:val="24"/>
        </w:rPr>
      </w:pPr>
      <w:r>
        <w:rPr>
          <w:rFonts w:hint="eastAsia" w:ascii="仿宋" w:hAnsi="仿宋" w:eastAsia="仿宋" w:cs="仿宋"/>
          <w:bCs/>
          <w:color w:val="000000"/>
          <w:sz w:val="24"/>
          <w:szCs w:val="24"/>
        </w:rPr>
        <w:t>医院不断引进高新设备，推进设备现代化。拥有PET-CT、Micro PET-CT、3.0T磁共振、256层螺旋极速CT、直线加速器、DSA、ETC、全飞秒激光近视治疗仪、3D腹腔镜等10亿元的大中型现代化仪器设备，为医院的高品质诊治技术奠定了坚实基础。</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二、岗位及专业需求：</w:t>
      </w:r>
    </w:p>
    <w:p>
      <w:pPr>
        <w:spacing w:line="360" w:lineRule="auto"/>
        <w:ind w:firstLine="480" w:firstLineChars="200"/>
        <w:rPr>
          <w:rFonts w:hint="eastAsia" w:ascii="仿宋" w:hAnsi="仿宋" w:eastAsia="仿宋" w:cs="仿宋"/>
          <w:bCs/>
          <w:color w:val="000000"/>
          <w:sz w:val="24"/>
          <w:szCs w:val="24"/>
          <w:lang w:val="en-US" w:eastAsia="zh-CN"/>
        </w:rPr>
      </w:pPr>
      <w:r>
        <w:rPr>
          <w:rFonts w:hint="eastAsia" w:ascii="仿宋" w:hAnsi="仿宋" w:eastAsia="仿宋" w:cs="仿宋"/>
          <w:bCs/>
          <w:color w:val="000000"/>
          <w:sz w:val="24"/>
          <w:szCs w:val="24"/>
          <w:lang w:val="en-US" w:eastAsia="zh-CN"/>
        </w:rPr>
        <w:t>1、临床岗：内科学、外科学、妇产科学、儿科学、传染病学、儿外科学、烧伤外科学、整形外科学、眼科学、耳鼻咽喉科学、口腔医学、皮肤性病学、神经病学、精神病学、重症医学、急诊医学、核医学、肿瘤学、康复医学与理疗学、麻醉学、临床检验诊断学、影像医学与核医学、全科医学、护理学、健康管理、医学其他学科等相关专业。</w:t>
      </w:r>
    </w:p>
    <w:p>
      <w:pPr>
        <w:spacing w:line="360" w:lineRule="auto"/>
        <w:ind w:firstLine="480" w:firstLineChars="200"/>
        <w:rPr>
          <w:rFonts w:hint="eastAsia" w:ascii="仿宋" w:hAnsi="仿宋" w:eastAsia="仿宋" w:cs="仿宋"/>
          <w:bCs/>
          <w:color w:val="000000"/>
          <w:sz w:val="24"/>
          <w:szCs w:val="24"/>
          <w:lang w:val="en-US" w:eastAsia="zh-CN"/>
        </w:rPr>
      </w:pPr>
      <w:r>
        <w:rPr>
          <w:rFonts w:hint="eastAsia" w:ascii="仿宋" w:hAnsi="仿宋" w:eastAsia="仿宋" w:cs="仿宋"/>
          <w:bCs/>
          <w:color w:val="000000"/>
          <w:sz w:val="24"/>
          <w:szCs w:val="24"/>
          <w:lang w:val="en-US" w:eastAsia="zh-CN"/>
        </w:rPr>
        <w:t>2、科研岗：分子生物学、生物医学、病理学等相关专业。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三、引进博士人才待遇</w:t>
      </w:r>
    </w:p>
    <w:p>
      <w:pPr>
        <w:spacing w:line="360" w:lineRule="auto"/>
        <w:ind w:firstLine="480" w:firstLineChars="200"/>
        <w:rPr>
          <w:rFonts w:hint="eastAsia" w:ascii="仿宋" w:hAnsi="仿宋" w:eastAsia="仿宋" w:cs="仿宋"/>
          <w:bCs/>
          <w:color w:val="000000"/>
          <w:sz w:val="24"/>
          <w:szCs w:val="24"/>
          <w:lang w:val="en-US" w:eastAsia="zh-CN"/>
        </w:rPr>
      </w:pPr>
    </w:p>
    <w:tbl>
      <w:tblPr>
        <w:tblStyle w:val="6"/>
        <w:tblW w:w="90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724"/>
        <w:gridCol w:w="1437"/>
        <w:gridCol w:w="1842"/>
        <w:gridCol w:w="1237"/>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071" w:hRule="atLeast"/>
          <w:jc w:val="center"/>
        </w:trPr>
        <w:tc>
          <w:tcPr>
            <w:tcW w:w="1433" w:type="dxa"/>
            <w:noWrap w:val="0"/>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引进类别</w:t>
            </w:r>
          </w:p>
        </w:tc>
        <w:tc>
          <w:tcPr>
            <w:tcW w:w="1724" w:type="dxa"/>
            <w:noWrap w:val="0"/>
            <w:vAlign w:val="center"/>
          </w:tcPr>
          <w:p>
            <w:pPr>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安家费</w:t>
            </w:r>
          </w:p>
        </w:tc>
        <w:tc>
          <w:tcPr>
            <w:tcW w:w="1437" w:type="dxa"/>
            <w:noWrap w:val="0"/>
            <w:vAlign w:val="center"/>
          </w:tcPr>
          <w:p>
            <w:pPr>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租房补贴</w:t>
            </w:r>
          </w:p>
        </w:tc>
        <w:tc>
          <w:tcPr>
            <w:tcW w:w="1842" w:type="dxa"/>
            <w:noWrap w:val="0"/>
            <w:vAlign w:val="center"/>
          </w:tcPr>
          <w:p>
            <w:pPr>
              <w:jc w:val="center"/>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薪酬及待遇</w:t>
            </w:r>
          </w:p>
        </w:tc>
        <w:tc>
          <w:tcPr>
            <w:tcW w:w="123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科研启动经费</w:t>
            </w:r>
          </w:p>
        </w:tc>
        <w:tc>
          <w:tcPr>
            <w:tcW w:w="142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433" w:type="dxa"/>
            <w:noWrap w:val="0"/>
            <w:vAlign w:val="center"/>
          </w:tcPr>
          <w:p>
            <w:pPr>
              <w:jc w:val="center"/>
              <w:rPr>
                <w:rFonts w:hint="eastAsia" w:ascii="仿宋" w:hAnsi="仿宋" w:eastAsia="仿宋" w:cs="仿宋"/>
                <w:i w:val="0"/>
                <w:caps w:val="0"/>
                <w:color w:val="555555"/>
                <w:spacing w:val="0"/>
                <w:sz w:val="24"/>
                <w:szCs w:val="24"/>
                <w:shd w:val="clear" w:color="auto" w:fill="FFFFFF"/>
                <w:vertAlign w:val="baseline"/>
                <w:lang w:eastAsia="zh-CN"/>
              </w:rPr>
            </w:pPr>
            <w:r>
              <w:rPr>
                <w:rFonts w:hint="eastAsia" w:ascii="仿宋" w:hAnsi="仿宋" w:eastAsia="仿宋" w:cs="仿宋"/>
                <w:i w:val="0"/>
                <w:caps w:val="0"/>
                <w:color w:val="555555"/>
                <w:spacing w:val="0"/>
                <w:sz w:val="24"/>
                <w:szCs w:val="24"/>
                <w:shd w:val="clear" w:color="auto" w:fill="FFFFFF"/>
                <w:vertAlign w:val="baseline"/>
                <w:lang w:val="en-US" w:eastAsia="zh-CN"/>
              </w:rPr>
              <w:t>A类</w:t>
            </w:r>
            <w:r>
              <w:rPr>
                <w:rFonts w:hint="eastAsia" w:ascii="仿宋" w:hAnsi="仿宋" w:eastAsia="仿宋" w:cs="仿宋"/>
                <w:i w:val="0"/>
                <w:caps w:val="0"/>
                <w:color w:val="555555"/>
                <w:spacing w:val="0"/>
                <w:sz w:val="24"/>
                <w:szCs w:val="24"/>
                <w:shd w:val="clear" w:color="auto" w:fill="FFFFFF"/>
                <w:vertAlign w:val="baseline"/>
                <w:lang w:eastAsia="zh-CN"/>
              </w:rPr>
              <w:t>博士</w:t>
            </w:r>
          </w:p>
          <w:p>
            <w:pPr>
              <w:jc w:val="center"/>
              <w:rPr>
                <w:rFonts w:hint="eastAsia" w:ascii="仿宋" w:hAnsi="仿宋" w:eastAsia="仿宋" w:cs="仿宋"/>
                <w:i w:val="0"/>
                <w:caps w:val="0"/>
                <w:color w:val="555555"/>
                <w:spacing w:val="0"/>
                <w:sz w:val="24"/>
                <w:szCs w:val="24"/>
                <w:shd w:val="clear" w:color="auto" w:fill="FFFFFF"/>
                <w:vertAlign w:val="baseline"/>
                <w:lang w:val="en-US" w:eastAsia="zh-CN"/>
              </w:rPr>
            </w:pPr>
          </w:p>
        </w:tc>
        <w:tc>
          <w:tcPr>
            <w:tcW w:w="1724" w:type="dxa"/>
            <w:noWrap w:val="0"/>
            <w:vAlign w:val="center"/>
          </w:tcPr>
          <w:p>
            <w:pPr>
              <w:rPr>
                <w:rFonts w:hint="eastAsia" w:ascii="仿宋" w:hAnsi="仿宋" w:eastAsia="仿宋" w:cs="仿宋"/>
                <w:sz w:val="24"/>
                <w:szCs w:val="24"/>
                <w:vertAlign w:val="baseline"/>
                <w:lang w:val="en-US" w:eastAsia="zh-CN"/>
              </w:rPr>
            </w:pPr>
            <w:r>
              <w:rPr>
                <w:rFonts w:hint="eastAsia" w:ascii="仿宋" w:hAnsi="仿宋" w:eastAsia="仿宋" w:cs="仿宋"/>
                <w:i w:val="0"/>
                <w:caps w:val="0"/>
                <w:color w:val="555555"/>
                <w:spacing w:val="0"/>
                <w:sz w:val="24"/>
                <w:szCs w:val="24"/>
                <w:shd w:val="clear" w:color="auto" w:fill="FFFFFF"/>
                <w:vertAlign w:val="baseline"/>
                <w:lang w:val="en-US" w:eastAsia="zh-CN"/>
              </w:rPr>
              <w:t>33万元（税前，含当地政府发放的安家费及生活补贴）</w:t>
            </w:r>
          </w:p>
        </w:tc>
        <w:tc>
          <w:tcPr>
            <w:tcW w:w="1437" w:type="dxa"/>
            <w:noWrap w:val="0"/>
            <w:vAlign w:val="center"/>
          </w:tcPr>
          <w:p>
            <w:pPr>
              <w:rPr>
                <w:rFonts w:hint="eastAsia" w:ascii="仿宋" w:hAnsi="仿宋" w:eastAsia="仿宋" w:cs="仿宋"/>
                <w:sz w:val="24"/>
                <w:szCs w:val="24"/>
                <w:vertAlign w:val="baseline"/>
                <w:lang w:val="en-US" w:eastAsia="zh-CN"/>
              </w:rPr>
            </w:pPr>
            <w:r>
              <w:rPr>
                <w:rFonts w:hint="eastAsia" w:ascii="仿宋" w:hAnsi="仿宋" w:eastAsia="仿宋" w:cs="仿宋"/>
                <w:i w:val="0"/>
                <w:caps w:val="0"/>
                <w:color w:val="555555"/>
                <w:spacing w:val="0"/>
                <w:sz w:val="24"/>
                <w:szCs w:val="24"/>
                <w:shd w:val="clear" w:color="auto" w:fill="FFFFFF"/>
                <w:vertAlign w:val="baseline"/>
                <w:lang w:val="en-US" w:eastAsia="zh-CN"/>
              </w:rPr>
              <w:t>1200元/月，连续发放2年</w:t>
            </w:r>
          </w:p>
        </w:tc>
        <w:tc>
          <w:tcPr>
            <w:tcW w:w="1842" w:type="dxa"/>
            <w:noWrap w:val="0"/>
            <w:vAlign w:val="top"/>
          </w:tcPr>
          <w:p>
            <w:pPr>
              <w:rPr>
                <w:rFonts w:hint="eastAsia" w:ascii="仿宋" w:hAnsi="仿宋" w:eastAsia="仿宋" w:cs="仿宋"/>
                <w:i w:val="0"/>
                <w:caps w:val="0"/>
                <w:color w:val="555555"/>
                <w:spacing w:val="0"/>
                <w:sz w:val="24"/>
                <w:szCs w:val="24"/>
                <w:shd w:val="clear" w:color="auto" w:fill="FFFFFF"/>
                <w:vertAlign w:val="baseline"/>
                <w:lang w:val="en-US" w:eastAsia="zh-CN"/>
              </w:rPr>
            </w:pPr>
            <w:r>
              <w:rPr>
                <w:rFonts w:hint="eastAsia" w:ascii="仿宋" w:hAnsi="仿宋" w:eastAsia="仿宋" w:cs="仿宋"/>
                <w:i w:val="0"/>
                <w:caps w:val="0"/>
                <w:color w:val="555555"/>
                <w:spacing w:val="0"/>
                <w:sz w:val="24"/>
                <w:szCs w:val="24"/>
                <w:shd w:val="clear" w:color="auto" w:fill="FFFFFF"/>
                <w:vertAlign w:val="baseline"/>
                <w:lang w:val="en-US" w:eastAsia="zh-CN"/>
              </w:rPr>
              <w:t>大学教学编制，工资标准执行专技10级岗，学校聘为中级职称【原已有职称的（如副高及以上职称），学校聘为原有职称。】</w:t>
            </w:r>
          </w:p>
        </w:tc>
        <w:tc>
          <w:tcPr>
            <w:tcW w:w="1237" w:type="dxa"/>
            <w:noWrap w:val="0"/>
            <w:vAlign w:val="center"/>
          </w:tcPr>
          <w:p>
            <w:pPr>
              <w:jc w:val="center"/>
              <w:rPr>
                <w:rFonts w:hint="eastAsia" w:ascii="仿宋" w:hAnsi="仿宋" w:eastAsia="仿宋" w:cs="仿宋"/>
                <w:i w:val="0"/>
                <w:caps w:val="0"/>
                <w:color w:val="555555"/>
                <w:spacing w:val="0"/>
                <w:sz w:val="24"/>
                <w:szCs w:val="24"/>
                <w:shd w:val="clear" w:color="auto" w:fill="FFFFFF"/>
                <w:vertAlign w:val="baseline"/>
                <w:lang w:val="en-US" w:eastAsia="zh-CN"/>
              </w:rPr>
            </w:pPr>
            <w:r>
              <w:rPr>
                <w:rFonts w:hint="eastAsia" w:ascii="仿宋" w:hAnsi="仿宋" w:eastAsia="仿宋" w:cs="仿宋"/>
                <w:i w:val="0"/>
                <w:caps w:val="0"/>
                <w:color w:val="555555"/>
                <w:spacing w:val="0"/>
                <w:sz w:val="24"/>
                <w:szCs w:val="24"/>
                <w:shd w:val="clear" w:color="auto" w:fill="FFFFFF"/>
                <w:vertAlign w:val="baseline"/>
                <w:lang w:val="en-US" w:eastAsia="zh-CN"/>
              </w:rPr>
              <w:t>10万元</w:t>
            </w:r>
          </w:p>
        </w:tc>
        <w:tc>
          <w:tcPr>
            <w:tcW w:w="1425" w:type="dxa"/>
            <w:noWrap w:val="0"/>
            <w:vAlign w:val="center"/>
          </w:tcPr>
          <w:p>
            <w:pPr>
              <w:jc w:val="center"/>
              <w:rPr>
                <w:rFonts w:hint="eastAsia" w:ascii="仿宋" w:hAnsi="仿宋" w:eastAsia="仿宋" w:cs="仿宋"/>
                <w:i w:val="0"/>
                <w:caps w:val="0"/>
                <w:color w:val="555555"/>
                <w:spacing w:val="0"/>
                <w:sz w:val="24"/>
                <w:szCs w:val="24"/>
                <w:shd w:val="clear" w:color="auto" w:fill="FFFFFF"/>
                <w:vertAlign w:val="baseline"/>
                <w:lang w:val="en-US" w:eastAsia="zh-CN"/>
              </w:rPr>
            </w:pPr>
            <w:r>
              <w:rPr>
                <w:rFonts w:hint="eastAsia" w:ascii="仿宋" w:hAnsi="仿宋" w:eastAsia="仿宋" w:cs="仿宋"/>
                <w:i w:val="0"/>
                <w:caps w:val="0"/>
                <w:color w:val="555555"/>
                <w:spacing w:val="0"/>
                <w:sz w:val="24"/>
                <w:szCs w:val="24"/>
                <w:shd w:val="clear" w:color="auto" w:fill="FFFFFF"/>
                <w:vertAlign w:val="baseline"/>
                <w:lang w:val="en-US" w:eastAsia="zh-CN"/>
              </w:rPr>
              <w:t>协助解决配偶工作问题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433" w:type="dxa"/>
            <w:noWrap w:val="0"/>
            <w:vAlign w:val="center"/>
          </w:tcPr>
          <w:p>
            <w:pPr>
              <w:jc w:val="center"/>
              <w:rPr>
                <w:rFonts w:hint="eastAsia" w:ascii="仿宋" w:hAnsi="仿宋" w:eastAsia="仿宋" w:cs="仿宋"/>
                <w:i w:val="0"/>
                <w:caps w:val="0"/>
                <w:color w:val="555555"/>
                <w:spacing w:val="0"/>
                <w:sz w:val="24"/>
                <w:szCs w:val="24"/>
                <w:shd w:val="clear" w:color="auto" w:fill="FFFFFF"/>
                <w:vertAlign w:val="baseline"/>
                <w:lang w:eastAsia="zh-CN"/>
              </w:rPr>
            </w:pPr>
            <w:r>
              <w:rPr>
                <w:rFonts w:hint="eastAsia" w:ascii="仿宋" w:hAnsi="仿宋" w:eastAsia="仿宋" w:cs="仿宋"/>
                <w:i w:val="0"/>
                <w:caps w:val="0"/>
                <w:color w:val="555555"/>
                <w:spacing w:val="0"/>
                <w:sz w:val="24"/>
                <w:szCs w:val="24"/>
                <w:shd w:val="clear" w:color="auto" w:fill="FFFFFF"/>
                <w:vertAlign w:val="baseline"/>
                <w:lang w:val="en-US" w:eastAsia="zh-CN"/>
              </w:rPr>
              <w:t>B类</w:t>
            </w:r>
            <w:r>
              <w:rPr>
                <w:rFonts w:hint="eastAsia" w:ascii="仿宋" w:hAnsi="仿宋" w:eastAsia="仿宋" w:cs="仿宋"/>
                <w:i w:val="0"/>
                <w:caps w:val="0"/>
                <w:color w:val="555555"/>
                <w:spacing w:val="0"/>
                <w:sz w:val="24"/>
                <w:szCs w:val="24"/>
                <w:shd w:val="clear" w:color="auto" w:fill="FFFFFF"/>
                <w:vertAlign w:val="baseline"/>
                <w:lang w:eastAsia="zh-CN"/>
              </w:rPr>
              <w:t>博士</w:t>
            </w:r>
          </w:p>
          <w:p>
            <w:pPr>
              <w:jc w:val="center"/>
              <w:rPr>
                <w:rFonts w:hint="eastAsia" w:ascii="仿宋" w:hAnsi="仿宋" w:eastAsia="仿宋" w:cs="仿宋"/>
                <w:i w:val="0"/>
                <w:caps w:val="0"/>
                <w:color w:val="555555"/>
                <w:spacing w:val="0"/>
                <w:sz w:val="24"/>
                <w:szCs w:val="24"/>
                <w:shd w:val="clear" w:color="auto" w:fill="FFFFFF"/>
                <w:vertAlign w:val="baseline"/>
                <w:lang w:eastAsia="zh-CN"/>
              </w:rPr>
            </w:pPr>
          </w:p>
        </w:tc>
        <w:tc>
          <w:tcPr>
            <w:tcW w:w="1724" w:type="dxa"/>
            <w:noWrap w:val="0"/>
            <w:vAlign w:val="center"/>
          </w:tcPr>
          <w:p>
            <w:pPr>
              <w:rPr>
                <w:rFonts w:hint="eastAsia" w:ascii="仿宋" w:hAnsi="仿宋" w:eastAsia="仿宋" w:cs="仿宋"/>
                <w:sz w:val="24"/>
                <w:szCs w:val="24"/>
                <w:vertAlign w:val="baseline"/>
              </w:rPr>
            </w:pPr>
            <w:r>
              <w:rPr>
                <w:rFonts w:hint="eastAsia" w:ascii="仿宋" w:hAnsi="仿宋" w:eastAsia="仿宋" w:cs="仿宋"/>
                <w:i w:val="0"/>
                <w:caps w:val="0"/>
                <w:color w:val="555555"/>
                <w:spacing w:val="0"/>
                <w:sz w:val="24"/>
                <w:szCs w:val="24"/>
                <w:shd w:val="clear" w:color="auto" w:fill="FFFFFF"/>
                <w:vertAlign w:val="baseline"/>
                <w:lang w:val="en-US" w:eastAsia="zh-CN"/>
              </w:rPr>
              <w:t>28万元（税前，含当地政府发放的安家费及生活补贴）</w:t>
            </w:r>
          </w:p>
        </w:tc>
        <w:tc>
          <w:tcPr>
            <w:tcW w:w="1437" w:type="dxa"/>
            <w:noWrap w:val="0"/>
            <w:vAlign w:val="center"/>
          </w:tcPr>
          <w:p>
            <w:pPr>
              <w:rPr>
                <w:rFonts w:hint="eastAsia" w:ascii="仿宋" w:hAnsi="仿宋" w:eastAsia="仿宋" w:cs="仿宋"/>
                <w:sz w:val="24"/>
                <w:szCs w:val="24"/>
                <w:vertAlign w:val="baseline"/>
              </w:rPr>
            </w:pPr>
            <w:r>
              <w:rPr>
                <w:rFonts w:hint="eastAsia" w:ascii="仿宋" w:hAnsi="仿宋" w:eastAsia="仿宋" w:cs="仿宋"/>
                <w:i w:val="0"/>
                <w:caps w:val="0"/>
                <w:color w:val="555555"/>
                <w:spacing w:val="0"/>
                <w:sz w:val="24"/>
                <w:szCs w:val="24"/>
                <w:shd w:val="clear" w:color="auto" w:fill="FFFFFF"/>
                <w:vertAlign w:val="baseline"/>
                <w:lang w:val="en-US" w:eastAsia="zh-CN"/>
              </w:rPr>
              <w:t>1200元/月，连续发放2年</w:t>
            </w:r>
          </w:p>
        </w:tc>
        <w:tc>
          <w:tcPr>
            <w:tcW w:w="1842" w:type="dxa"/>
            <w:noWrap w:val="0"/>
            <w:vAlign w:val="top"/>
          </w:tcPr>
          <w:p>
            <w:pPr>
              <w:rPr>
                <w:rFonts w:hint="eastAsia" w:ascii="仿宋" w:hAnsi="仿宋" w:eastAsia="仿宋" w:cs="仿宋"/>
                <w:sz w:val="24"/>
                <w:szCs w:val="24"/>
                <w:vertAlign w:val="baseline"/>
              </w:rPr>
            </w:pPr>
            <w:r>
              <w:rPr>
                <w:rFonts w:hint="eastAsia" w:ascii="仿宋" w:hAnsi="仿宋" w:eastAsia="仿宋" w:cs="仿宋"/>
                <w:i w:val="0"/>
                <w:caps w:val="0"/>
                <w:color w:val="555555"/>
                <w:spacing w:val="0"/>
                <w:sz w:val="24"/>
                <w:szCs w:val="24"/>
                <w:shd w:val="clear" w:color="auto" w:fill="FFFFFF"/>
                <w:vertAlign w:val="baseline"/>
                <w:lang w:val="en-US" w:eastAsia="zh-CN"/>
              </w:rPr>
              <w:t>大学教学编制，工资标准执行专技10级岗，学校聘为中级职称【原已有职称的（如副高及以上职称），学校聘为原有职称。</w:t>
            </w:r>
            <w:r>
              <w:rPr>
                <w:rFonts w:hint="eastAsia" w:ascii="仿宋" w:hAnsi="仿宋" w:eastAsia="仿宋" w:cs="仿宋"/>
                <w:i w:val="0"/>
                <w:caps w:val="0"/>
                <w:color w:val="555555"/>
                <w:spacing w:val="0"/>
                <w:sz w:val="24"/>
                <w:szCs w:val="24"/>
                <w:shd w:val="clear" w:color="auto" w:fill="FFFFFF"/>
                <w:vertAlign w:val="baseline"/>
              </w:rPr>
              <w:t>】</w:t>
            </w:r>
          </w:p>
        </w:tc>
        <w:tc>
          <w:tcPr>
            <w:tcW w:w="1237" w:type="dxa"/>
            <w:noWrap w:val="0"/>
            <w:vAlign w:val="center"/>
          </w:tcPr>
          <w:p>
            <w:pPr>
              <w:jc w:val="center"/>
              <w:rPr>
                <w:rFonts w:hint="eastAsia" w:ascii="仿宋" w:hAnsi="仿宋" w:eastAsia="仿宋" w:cs="仿宋"/>
                <w:sz w:val="24"/>
                <w:szCs w:val="24"/>
                <w:vertAlign w:val="baseline"/>
              </w:rPr>
            </w:pPr>
            <w:r>
              <w:rPr>
                <w:rFonts w:hint="eastAsia" w:ascii="仿宋" w:hAnsi="仿宋" w:eastAsia="仿宋" w:cs="仿宋"/>
                <w:i w:val="0"/>
                <w:caps w:val="0"/>
                <w:color w:val="555555"/>
                <w:spacing w:val="0"/>
                <w:sz w:val="24"/>
                <w:szCs w:val="24"/>
                <w:shd w:val="clear" w:color="auto" w:fill="FFFFFF"/>
                <w:vertAlign w:val="baseline"/>
                <w:lang w:val="en-US" w:eastAsia="zh-CN"/>
              </w:rPr>
              <w:t>10万元</w:t>
            </w:r>
          </w:p>
        </w:tc>
        <w:tc>
          <w:tcPr>
            <w:tcW w:w="1425" w:type="dxa"/>
            <w:noWrap w:val="0"/>
            <w:vAlign w:val="center"/>
          </w:tcPr>
          <w:p>
            <w:pPr>
              <w:jc w:val="center"/>
              <w:rPr>
                <w:rFonts w:hint="eastAsia" w:ascii="仿宋" w:hAnsi="仿宋" w:eastAsia="仿宋" w:cs="仿宋"/>
                <w:i w:val="0"/>
                <w:caps w:val="0"/>
                <w:color w:val="555555"/>
                <w:spacing w:val="0"/>
                <w:sz w:val="24"/>
                <w:szCs w:val="24"/>
                <w:shd w:val="clear" w:color="auto" w:fill="FFFFFF"/>
                <w:vertAlign w:val="baseline"/>
                <w:lang w:val="en-US" w:eastAsia="zh-CN"/>
              </w:rPr>
            </w:pPr>
            <w:r>
              <w:rPr>
                <w:rFonts w:hint="eastAsia" w:ascii="仿宋" w:hAnsi="仿宋" w:eastAsia="仿宋" w:cs="仿宋"/>
                <w:i w:val="0"/>
                <w:caps w:val="0"/>
                <w:color w:val="555555"/>
                <w:spacing w:val="0"/>
                <w:sz w:val="24"/>
                <w:szCs w:val="24"/>
                <w:shd w:val="clear" w:color="auto" w:fill="FFFFFF"/>
                <w:vertAlign w:val="baseline"/>
                <w:lang w:val="en-US" w:eastAsia="zh-CN"/>
              </w:rPr>
              <w:t>协助解决配偶工作问题</w:t>
            </w:r>
          </w:p>
        </w:tc>
      </w:tr>
    </w:tbl>
    <w:p>
      <w:pPr>
        <w:rPr>
          <w:rFonts w:hint="eastAsia" w:ascii="仿宋" w:hAnsi="仿宋" w:eastAsia="仿宋" w:cs="仿宋"/>
          <w:b w:val="0"/>
          <w:bCs w:val="0"/>
          <w:sz w:val="24"/>
          <w:szCs w:val="24"/>
          <w:lang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20" w:lineRule="atLeast"/>
        <w:ind w:left="0" w:right="0" w:firstLine="482" w:firstLineChars="200"/>
        <w:textAlignment w:val="baseline"/>
        <w:outlineLvl w:val="9"/>
        <w:rPr>
          <w:rFonts w:hint="eastAsia" w:ascii="仿宋" w:hAnsi="仿宋" w:eastAsia="仿宋" w:cs="仿宋"/>
          <w:b/>
          <w:bCs/>
          <w:i w:val="0"/>
          <w:caps w:val="0"/>
          <w:color w:val="555555"/>
          <w:spacing w:val="0"/>
          <w:sz w:val="24"/>
          <w:szCs w:val="24"/>
          <w:shd w:val="clear" w:color="auto" w:fill="FFFFFF"/>
          <w:vertAlign w:val="baseline"/>
          <w:lang w:val="en-US" w:eastAsia="zh-CN"/>
        </w:rPr>
      </w:pPr>
      <w:r>
        <w:rPr>
          <w:rFonts w:hint="eastAsia" w:ascii="仿宋" w:hAnsi="仿宋" w:eastAsia="仿宋" w:cs="仿宋"/>
          <w:b/>
          <w:bCs/>
          <w:i w:val="0"/>
          <w:caps w:val="0"/>
          <w:color w:val="555555"/>
          <w:spacing w:val="0"/>
          <w:sz w:val="24"/>
          <w:szCs w:val="24"/>
          <w:shd w:val="clear" w:color="auto" w:fill="FFFFFF"/>
          <w:vertAlign w:val="baseline"/>
          <w:lang w:val="en-US" w:eastAsia="zh-CN"/>
        </w:rPr>
        <w:t>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20" w:lineRule="atLeast"/>
        <w:ind w:left="0" w:right="0" w:firstLine="482" w:firstLineChars="200"/>
        <w:textAlignment w:val="baseline"/>
        <w:outlineLvl w:val="9"/>
        <w:rPr>
          <w:rFonts w:hint="eastAsia" w:ascii="仿宋" w:hAnsi="仿宋" w:eastAsia="仿宋" w:cs="仿宋"/>
          <w:i w:val="0"/>
          <w:caps w:val="0"/>
          <w:color w:val="555555"/>
          <w:spacing w:val="0"/>
          <w:sz w:val="24"/>
          <w:szCs w:val="24"/>
          <w:shd w:val="clear" w:color="auto" w:fill="FFFFFF"/>
          <w:vertAlign w:val="baseline"/>
          <w:lang w:val="en-US" w:eastAsia="zh-CN"/>
        </w:rPr>
      </w:pPr>
      <w:r>
        <w:rPr>
          <w:rFonts w:hint="eastAsia" w:ascii="仿宋" w:hAnsi="仿宋" w:eastAsia="仿宋" w:cs="仿宋"/>
          <w:b/>
          <w:bCs/>
          <w:i w:val="0"/>
          <w:caps w:val="0"/>
          <w:color w:val="555555"/>
          <w:spacing w:val="0"/>
          <w:sz w:val="24"/>
          <w:szCs w:val="24"/>
          <w:shd w:val="clear" w:color="auto" w:fill="FFFFFF"/>
          <w:vertAlign w:val="baseline"/>
          <w:lang w:val="en-US" w:eastAsia="zh-CN"/>
        </w:rPr>
        <w:t>1、A类博士系指“985”高校、“211”高校、中科院等毕业的优秀博士，年龄一般不超过40周岁，近三年在本学科权威刊物上以第一作者（不包括非第一排名的共同作者）发布学术论文并被SCI收录多篇，累计影响因子5.0以上或单篇影响因子3.0以上。</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20" w:lineRule="atLeast"/>
        <w:ind w:left="0" w:right="0" w:firstLine="482" w:firstLineChars="200"/>
        <w:textAlignment w:val="baseline"/>
        <w:outlineLvl w:val="9"/>
        <w:rPr>
          <w:rFonts w:hint="eastAsia" w:ascii="仿宋" w:hAnsi="仿宋" w:eastAsia="仿宋" w:cs="仿宋"/>
          <w:b/>
          <w:bCs/>
          <w:i w:val="0"/>
          <w:caps w:val="0"/>
          <w:color w:val="555555"/>
          <w:spacing w:val="0"/>
          <w:sz w:val="24"/>
          <w:szCs w:val="24"/>
          <w:shd w:val="clear" w:color="auto" w:fill="FFFFFF"/>
          <w:vertAlign w:val="baseline"/>
          <w:lang w:val="en-US" w:eastAsia="zh-CN"/>
        </w:rPr>
      </w:pPr>
      <w:r>
        <w:rPr>
          <w:rFonts w:hint="eastAsia" w:ascii="仿宋" w:hAnsi="仿宋" w:eastAsia="仿宋" w:cs="仿宋"/>
          <w:b/>
          <w:bCs/>
          <w:i w:val="0"/>
          <w:caps w:val="0"/>
          <w:color w:val="555555"/>
          <w:spacing w:val="0"/>
          <w:sz w:val="24"/>
          <w:szCs w:val="24"/>
          <w:shd w:val="clear" w:color="auto" w:fill="FFFFFF"/>
          <w:vertAlign w:val="baseline"/>
          <w:lang w:val="en-US" w:eastAsia="zh-CN"/>
        </w:rPr>
        <w:t>2、以第一作者或通讯作者发表SCI单篇影响因子高于15分的优秀博士待遇一人一议。</w:t>
      </w:r>
      <w:r>
        <w:rPr>
          <w:rFonts w:hint="eastAsia" w:ascii="仿宋" w:hAnsi="仿宋" w:eastAsia="仿宋" w:cs="仿宋"/>
          <w:i w:val="0"/>
          <w:caps w:val="0"/>
          <w:color w:val="555555"/>
          <w:spacing w:val="0"/>
          <w:sz w:val="24"/>
          <w:szCs w:val="24"/>
          <w:shd w:val="clear" w:color="auto" w:fill="FFFFFF"/>
          <w:vertAlign w:val="baseline"/>
          <w:lang w:val="en-US" w:eastAsia="zh-CN"/>
        </w:rPr>
        <w:br w:type="textWrapping"/>
      </w:r>
      <w:r>
        <w:rPr>
          <w:rFonts w:hint="eastAsia" w:ascii="仿宋" w:hAnsi="仿宋" w:eastAsia="仿宋" w:cs="仿宋"/>
          <w:i w:val="0"/>
          <w:caps w:val="0"/>
          <w:color w:val="555555"/>
          <w:spacing w:val="0"/>
          <w:sz w:val="24"/>
          <w:szCs w:val="24"/>
          <w:shd w:val="clear" w:color="auto" w:fill="FFFFFF"/>
          <w:vertAlign w:val="baseline"/>
          <w:lang w:val="en-US" w:eastAsia="zh-CN"/>
        </w:rPr>
        <w:t xml:space="preserve">    </w:t>
      </w:r>
      <w:r>
        <w:rPr>
          <w:rFonts w:hint="eastAsia" w:ascii="仿宋" w:hAnsi="仿宋" w:eastAsia="仿宋" w:cs="仿宋"/>
          <w:b/>
          <w:bCs/>
          <w:i w:val="0"/>
          <w:caps w:val="0"/>
          <w:color w:val="555555"/>
          <w:spacing w:val="0"/>
          <w:sz w:val="24"/>
          <w:szCs w:val="24"/>
          <w:shd w:val="clear" w:color="auto" w:fill="FFFFFF"/>
          <w:vertAlign w:val="baseline"/>
          <w:lang w:val="en-US" w:eastAsia="zh-CN"/>
        </w:rPr>
        <w:t>3、海外知名院校（世界高校排名前200名）毕业的优秀博士或学术带头人待遇一人一议。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20" w:lineRule="atLeast"/>
        <w:ind w:left="0" w:right="0" w:firstLine="480" w:firstLineChars="200"/>
        <w:textAlignment w:val="baseline"/>
        <w:outlineLvl w:val="9"/>
        <w:rPr>
          <w:rFonts w:hint="eastAsia" w:ascii="仿宋" w:hAnsi="仿宋" w:eastAsia="仿宋" w:cs="仿宋"/>
          <w:bCs/>
          <w:color w:val="000000"/>
          <w:sz w:val="24"/>
          <w:szCs w:val="24"/>
          <w:lang w:val="en-US" w:eastAsia="zh-CN"/>
        </w:rPr>
      </w:pPr>
      <w:r>
        <w:rPr>
          <w:rFonts w:hint="eastAsia" w:ascii="仿宋" w:hAnsi="仿宋" w:eastAsia="仿宋" w:cs="仿宋"/>
          <w:i w:val="0"/>
          <w:caps w:val="0"/>
          <w:color w:val="FF0000"/>
          <w:spacing w:val="0"/>
          <w:sz w:val="24"/>
          <w:szCs w:val="24"/>
          <w:shd w:val="clear" w:color="auto" w:fill="FFFFFF"/>
          <w:vertAlign w:val="baseline"/>
          <w:lang w:val="en-US" w:eastAsia="zh-CN"/>
        </w:rPr>
        <w:t>4、所聘职工均享受带薪年休假+免费体检+工会权益。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四、报名方式</w:t>
      </w:r>
    </w:p>
    <w:p>
      <w:pPr>
        <w:spacing w:line="360" w:lineRule="auto"/>
        <w:ind w:firstLine="480" w:firstLineChars="200"/>
        <w:rPr>
          <w:rFonts w:hint="eastAsia" w:ascii="仿宋" w:hAnsi="仿宋" w:eastAsia="仿宋" w:cs="仿宋"/>
          <w:bCs/>
          <w:color w:val="000000"/>
          <w:sz w:val="24"/>
          <w:szCs w:val="24"/>
          <w:lang w:val="en-US" w:eastAsia="zh-CN"/>
        </w:rPr>
      </w:pPr>
      <w:r>
        <w:rPr>
          <w:rFonts w:hint="eastAsia" w:ascii="仿宋" w:hAnsi="仿宋" w:eastAsia="仿宋" w:cs="仿宋"/>
          <w:bCs/>
          <w:color w:val="000000"/>
          <w:sz w:val="24"/>
          <w:szCs w:val="24"/>
          <w:lang w:val="en-US" w:eastAsia="zh-CN"/>
        </w:rPr>
        <w:t>应聘者请将简历（包括个人基本信息和联系方式、学习和工作经历、主要学术业绩、主持科研项目情况、代表性论文论著（SCI文章注明影响因子）、专利及获奖情况等）发送至人力资源部邮箱：xnykdfyzp@126.com抄送xnykzp@126.com （邮件标题：高层次人才网+姓名+专业+学历+毕业院校）　　</w:t>
      </w:r>
      <w:r>
        <w:rPr>
          <w:rFonts w:hint="eastAsia" w:ascii="仿宋" w:hAnsi="仿宋" w:eastAsia="仿宋" w:cs="仿宋"/>
          <w:bCs/>
          <w:color w:val="000000"/>
          <w:sz w:val="24"/>
          <w:szCs w:val="24"/>
          <w:lang w:val="en-US" w:eastAsia="zh-CN"/>
        </w:rPr>
        <w:t>，我们将及时查收并回复。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五、联系方式</w:t>
      </w:r>
    </w:p>
    <w:p>
      <w:pPr>
        <w:spacing w:line="360" w:lineRule="auto"/>
        <w:ind w:firstLine="480" w:firstLineChars="200"/>
        <w:rPr>
          <w:rFonts w:hint="eastAsia" w:ascii="仿宋" w:hAnsi="仿宋" w:eastAsia="仿宋" w:cs="仿宋"/>
          <w:bCs/>
          <w:color w:val="000000"/>
          <w:sz w:val="24"/>
          <w:szCs w:val="24"/>
          <w:lang w:val="en-US" w:eastAsia="zh-CN"/>
        </w:rPr>
      </w:pPr>
      <w:r>
        <w:rPr>
          <w:rFonts w:hint="eastAsia" w:ascii="仿宋" w:hAnsi="仿宋" w:eastAsia="仿宋" w:cs="仿宋"/>
          <w:bCs/>
          <w:color w:val="000000"/>
          <w:sz w:val="24"/>
          <w:szCs w:val="24"/>
          <w:lang w:val="en-US" w:eastAsia="zh-CN"/>
        </w:rPr>
        <w:t>西南医科大学附属医院人力资源部</w:t>
      </w:r>
    </w:p>
    <w:p>
      <w:pPr>
        <w:spacing w:line="360" w:lineRule="auto"/>
        <w:ind w:firstLine="480" w:firstLineChars="200"/>
        <w:rPr>
          <w:rFonts w:hint="eastAsia" w:ascii="仿宋" w:hAnsi="仿宋" w:eastAsia="仿宋" w:cs="仿宋"/>
          <w:bCs/>
          <w:color w:val="000000"/>
          <w:sz w:val="24"/>
          <w:szCs w:val="24"/>
          <w:lang w:val="en-US" w:eastAsia="zh-CN"/>
        </w:rPr>
      </w:pPr>
      <w:r>
        <w:rPr>
          <w:rFonts w:hint="eastAsia" w:ascii="仿宋" w:hAnsi="仿宋" w:eastAsia="仿宋" w:cs="仿宋"/>
          <w:bCs/>
          <w:color w:val="000000"/>
          <w:sz w:val="24"/>
          <w:szCs w:val="24"/>
          <w:lang w:val="en-US" w:eastAsia="zh-CN"/>
        </w:rPr>
        <w:t xml:space="preserve">电话：0830-3165067 </w:t>
      </w:r>
    </w:p>
    <w:p>
      <w:pPr>
        <w:spacing w:line="360" w:lineRule="auto"/>
        <w:ind w:firstLine="480" w:firstLineChars="200"/>
        <w:rPr>
          <w:rFonts w:hint="eastAsia" w:ascii="仿宋" w:hAnsi="仿宋" w:eastAsia="仿宋" w:cs="仿宋"/>
          <w:bCs/>
          <w:color w:val="000000"/>
          <w:sz w:val="24"/>
          <w:szCs w:val="24"/>
          <w:lang w:val="en-US" w:eastAsia="zh-CN"/>
        </w:rPr>
      </w:pPr>
      <w:r>
        <w:rPr>
          <w:rFonts w:hint="eastAsia" w:ascii="仿宋" w:hAnsi="仿宋" w:eastAsia="仿宋" w:cs="仿宋"/>
          <w:bCs/>
          <w:color w:val="000000"/>
          <w:sz w:val="24"/>
          <w:szCs w:val="24"/>
          <w:lang w:val="en-US" w:eastAsia="zh-CN"/>
        </w:rPr>
        <w:t>医院官网：</w:t>
      </w:r>
      <w:r>
        <w:rPr>
          <w:rFonts w:hint="eastAsia" w:ascii="仿宋" w:hAnsi="仿宋" w:eastAsia="仿宋" w:cs="仿宋"/>
          <w:bCs/>
          <w:color w:val="000000"/>
          <w:sz w:val="24"/>
          <w:szCs w:val="24"/>
          <w:lang w:val="en-US" w:eastAsia="zh-CN"/>
        </w:rPr>
        <w:fldChar w:fldCharType="begin"/>
      </w:r>
      <w:r>
        <w:rPr>
          <w:rFonts w:hint="eastAsia" w:ascii="仿宋" w:hAnsi="仿宋" w:eastAsia="仿宋" w:cs="仿宋"/>
          <w:bCs/>
          <w:color w:val="000000"/>
          <w:sz w:val="24"/>
          <w:szCs w:val="24"/>
          <w:lang w:val="en-US" w:eastAsia="zh-CN"/>
        </w:rPr>
        <w:instrText xml:space="preserve"> HYPERLINK "http://www.ahswmu.cn/" </w:instrText>
      </w:r>
      <w:r>
        <w:rPr>
          <w:rFonts w:hint="eastAsia" w:ascii="仿宋" w:hAnsi="仿宋" w:eastAsia="仿宋" w:cs="仿宋"/>
          <w:bCs/>
          <w:color w:val="000000"/>
          <w:sz w:val="24"/>
          <w:szCs w:val="24"/>
          <w:lang w:val="en-US" w:eastAsia="zh-CN"/>
        </w:rPr>
        <w:fldChar w:fldCharType="separate"/>
      </w:r>
      <w:r>
        <w:rPr>
          <w:rFonts w:hint="eastAsia" w:ascii="仿宋" w:hAnsi="仿宋" w:eastAsia="仿宋" w:cs="仿宋"/>
          <w:bCs/>
          <w:color w:val="000000"/>
          <w:sz w:val="24"/>
          <w:szCs w:val="24"/>
          <w:lang w:val="en-US" w:eastAsia="zh-CN"/>
        </w:rPr>
        <w:t>http://www.ahswmu.cn/</w:t>
      </w:r>
      <w:r>
        <w:rPr>
          <w:rFonts w:hint="eastAsia" w:ascii="仿宋" w:hAnsi="仿宋" w:eastAsia="仿宋" w:cs="仿宋"/>
          <w:bCs/>
          <w:color w:val="000000"/>
          <w:sz w:val="24"/>
          <w:szCs w:val="24"/>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 w:hAnsi="仿宋" w:eastAsia="仿宋" w:cs="仿宋"/>
          <w:bCs/>
          <w:color w:val="000000"/>
          <w:sz w:val="24"/>
          <w:szCs w:val="24"/>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center"/>
        <w:outlineLvl w:val="9"/>
        <w:rPr>
          <w:rFonts w:hint="eastAsia" w:ascii="宋体" w:hAnsi="宋体" w:eastAsia="宋体" w:cs="宋体"/>
          <w:b w:val="0"/>
          <w:i w:val="0"/>
          <w:caps w:val="0"/>
          <w:color w:val="000000"/>
          <w:spacing w:val="0"/>
          <w:kern w:val="0"/>
          <w:sz w:val="28"/>
          <w:szCs w:val="28"/>
          <w:shd w:val="clear" w:fill="FFFFFF"/>
          <w:lang w:val="en-US" w:eastAsia="zh-CN" w:bidi="ar"/>
        </w:rPr>
      </w:pPr>
      <w:r>
        <w:rPr>
          <w:rFonts w:hint="eastAsia" w:ascii="宋体" w:hAnsi="宋体" w:eastAsia="宋体" w:cs="宋体"/>
          <w:b/>
          <w:bCs/>
          <w:i w:val="0"/>
          <w:caps w:val="0"/>
          <w:color w:val="000000"/>
          <w:spacing w:val="0"/>
          <w:kern w:val="0"/>
          <w:sz w:val="28"/>
          <w:szCs w:val="28"/>
          <w:shd w:val="clear" w:fill="FFFFFF"/>
          <w:lang w:val="en-US" w:eastAsia="zh-CN" w:bidi="ar"/>
        </w:rPr>
        <w:t>西南医科大学附属中医医院2019年招聘简章</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left"/>
        <w:outlineLvl w:val="9"/>
        <w:rPr>
          <w:rFonts w:hint="eastAsia" w:ascii="宋体" w:hAnsi="宋体" w:eastAsia="宋体" w:cs="宋体"/>
          <w:b w:val="0"/>
          <w:i w:val="0"/>
          <w:caps w:val="0"/>
          <w:color w:val="000000"/>
          <w:spacing w:val="0"/>
          <w:kern w:val="0"/>
          <w:sz w:val="24"/>
          <w:szCs w:val="24"/>
          <w:shd w:val="clear" w:fill="FFFFFF"/>
          <w:lang w:val="en-US" w:eastAsia="zh-CN" w:bidi="ar"/>
        </w:rPr>
      </w:pPr>
      <w:r>
        <w:rPr>
          <w:rFonts w:hint="eastAsia" w:ascii="宋体" w:hAnsi="宋体" w:eastAsia="宋体" w:cs="宋体"/>
          <w:b/>
          <w:bCs/>
          <w:i w:val="0"/>
          <w:caps w:val="0"/>
          <w:color w:val="000000"/>
          <w:spacing w:val="0"/>
          <w:kern w:val="0"/>
          <w:sz w:val="24"/>
          <w:szCs w:val="24"/>
          <w:shd w:val="clear" w:fill="FFFFFF"/>
          <w:lang w:val="en-US" w:eastAsia="zh-CN" w:bidi="ar"/>
        </w:rPr>
        <w:t>一、医院简介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jc w:val="left"/>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kern w:val="0"/>
          <w:sz w:val="24"/>
          <w:szCs w:val="24"/>
          <w:shd w:val="clear" w:fill="FFFFFF"/>
          <w:lang w:val="en-US" w:eastAsia="zh-CN" w:bidi="ar"/>
        </w:rPr>
        <w:t>西南医科大学附属中医医院是一所集医疗、教学、科研、预防保健、产业文化、集团医院、国际交流于一体的具有中医、中西医结合特色的三级甲等综合性教学医院，始建于1983年，医院通过了ISO9001质量认证，是“中医药传承创新工程重点中医医院”“国家临床药物试验机构”“国家中医临床研究基地建设单位”和全国第二家“五星级”中医医院。先后获得了 “全国重点建设中医医院”“中国百强品牌医院”“全国卫生系统先进集体”等殊荣。</w:t>
      </w:r>
    </w:p>
    <w:p>
      <w:pPr>
        <w:keepNext w:val="0"/>
        <w:keepLines w:val="0"/>
        <w:pageBreakBefore w:val="0"/>
        <w:kinsoku/>
        <w:wordWrap/>
        <w:overflowPunct/>
        <w:topLinePunct w:val="0"/>
        <w:autoSpaceDE/>
        <w:autoSpaceDN/>
        <w:bidi w:val="0"/>
        <w:adjustRightInd/>
        <w:snapToGrid/>
        <w:spacing w:line="400" w:lineRule="exact"/>
        <w:ind w:firstLine="480"/>
        <w:rPr>
          <w:rFonts w:hint="eastAsia" w:ascii="宋体" w:hAnsi="宋体" w:eastAsia="宋体" w:cs="宋体"/>
          <w:b w:val="0"/>
          <w:i w:val="0"/>
          <w:caps w:val="0"/>
          <w:color w:val="000000"/>
          <w:spacing w:val="0"/>
          <w:sz w:val="24"/>
          <w:szCs w:val="24"/>
          <w:shd w:val="clear" w:fill="FFFFFF"/>
        </w:rPr>
      </w:pPr>
      <w:r>
        <w:rPr>
          <w:rFonts w:hint="eastAsia" w:ascii="宋体" w:hAnsi="宋体" w:eastAsia="宋体" w:cs="宋体"/>
          <w:b w:val="0"/>
          <w:i w:val="0"/>
          <w:caps w:val="0"/>
          <w:color w:val="000000"/>
          <w:spacing w:val="0"/>
          <w:sz w:val="24"/>
          <w:szCs w:val="24"/>
          <w:shd w:val="clear" w:fill="FFFFFF"/>
        </w:rPr>
        <w:t>医院总占地面积80.2亩，建筑面积20万余平方米，形成了城北新院、水井沟院区、忠山院区、龙驰门诊部及驾驶员体检中心、机场航空救护站“一院六地”的办院格局。医院现有编制床位2000张，城北新院传承创新大楼于2019年10月投入使用，医院编制床位将达3000张。医院现有在职职工2000余人，其中高级职称专家300余人，硕博士300余人，博士研究生导师和硕士研究生导师100余人，国家级、省级学术专委会委员以上专家200余人次，聘有世界范围内专兼职教授1</w:t>
      </w:r>
      <w:r>
        <w:rPr>
          <w:rFonts w:hint="eastAsia" w:ascii="宋体" w:hAnsi="宋体" w:eastAsia="宋体" w:cs="宋体"/>
          <w:b w:val="0"/>
          <w:i w:val="0"/>
          <w:caps w:val="0"/>
          <w:color w:val="000000"/>
          <w:spacing w:val="0"/>
          <w:sz w:val="24"/>
          <w:szCs w:val="24"/>
          <w:shd w:val="clear" w:fill="FFFFFF"/>
          <w:lang w:val="en-US" w:eastAsia="zh-CN"/>
        </w:rPr>
        <w:t>8</w:t>
      </w:r>
      <w:r>
        <w:rPr>
          <w:rFonts w:hint="eastAsia" w:ascii="宋体" w:hAnsi="宋体" w:eastAsia="宋体" w:cs="宋体"/>
          <w:b w:val="0"/>
          <w:i w:val="0"/>
          <w:caps w:val="0"/>
          <w:color w:val="000000"/>
          <w:spacing w:val="0"/>
          <w:sz w:val="24"/>
          <w:szCs w:val="24"/>
          <w:shd w:val="clear" w:fill="FFFFFF"/>
        </w:rPr>
        <w:t>0余人。医院与西南医科大学中西医结合学院实行院院合一</w:t>
      </w:r>
      <w:r>
        <w:rPr>
          <w:rFonts w:hint="eastAsia" w:ascii="宋体" w:hAnsi="宋体" w:eastAsia="宋体" w:cs="宋体"/>
          <w:b w:val="0"/>
          <w:i w:val="0"/>
          <w:caps w:val="0"/>
          <w:color w:val="000000"/>
          <w:spacing w:val="0"/>
          <w:sz w:val="24"/>
          <w:szCs w:val="24"/>
          <w:shd w:val="clear" w:fill="FFFFFF"/>
          <w:lang w:eastAsia="zh-CN"/>
        </w:rPr>
        <w:t>，</w:t>
      </w:r>
      <w:r>
        <w:rPr>
          <w:rFonts w:hint="eastAsia" w:ascii="宋体" w:hAnsi="宋体" w:eastAsia="宋体" w:cs="宋体"/>
          <w:b w:val="0"/>
          <w:i w:val="0"/>
          <w:caps w:val="0"/>
          <w:color w:val="000000"/>
          <w:spacing w:val="0"/>
          <w:sz w:val="24"/>
          <w:szCs w:val="24"/>
          <w:shd w:val="clear" w:fill="FFFFFF"/>
        </w:rPr>
        <w:t>现有在校本科生、研究生、留学生2100余人。</w:t>
      </w:r>
      <w:r>
        <w:rPr>
          <w:rFonts w:hint="eastAsia" w:ascii="宋体" w:hAnsi="宋体" w:eastAsia="宋体" w:cs="宋体"/>
          <w:b w:val="0"/>
          <w:i w:val="0"/>
          <w:caps w:val="0"/>
          <w:color w:val="000000"/>
          <w:spacing w:val="0"/>
          <w:sz w:val="24"/>
          <w:szCs w:val="24"/>
          <w:shd w:val="clear" w:fill="FFFFFF"/>
        </w:rPr>
        <w:br w:type="textWrapping"/>
      </w:r>
      <w:r>
        <w:rPr>
          <w:rFonts w:hint="eastAsia" w:ascii="宋体" w:hAnsi="宋体" w:eastAsia="宋体" w:cs="宋体"/>
          <w:b w:val="0"/>
          <w:i w:val="0"/>
          <w:caps w:val="0"/>
          <w:color w:val="000000"/>
          <w:spacing w:val="0"/>
          <w:sz w:val="24"/>
          <w:szCs w:val="24"/>
          <w:shd w:val="clear" w:fill="FFFFFF"/>
        </w:rPr>
        <w:t>    医院是国家中医临床研究基地建设单位，拥有区域中医脑病、肾病、肝病诊疗中心，设有57个临床和辅检科室，获批建泸州市人民政府院士工作站</w:t>
      </w:r>
      <w:r>
        <w:rPr>
          <w:rFonts w:hint="eastAsia" w:ascii="宋体" w:hAnsi="宋体" w:eastAsia="宋体" w:cs="宋体"/>
          <w:b w:val="0"/>
          <w:i w:val="0"/>
          <w:caps w:val="0"/>
          <w:color w:val="000000"/>
          <w:spacing w:val="0"/>
          <w:sz w:val="24"/>
          <w:szCs w:val="24"/>
          <w:shd w:val="clear" w:fill="FFFFFF"/>
          <w:lang w:eastAsia="zh-CN"/>
        </w:rPr>
        <w:t>。</w:t>
      </w:r>
      <w:r>
        <w:rPr>
          <w:rFonts w:hint="eastAsia" w:ascii="宋体" w:hAnsi="宋体" w:eastAsia="宋体" w:cs="宋体"/>
          <w:b w:val="0"/>
          <w:i w:val="0"/>
          <w:caps w:val="0"/>
          <w:color w:val="000000"/>
          <w:spacing w:val="0"/>
          <w:sz w:val="24"/>
          <w:szCs w:val="24"/>
          <w:shd w:val="clear" w:fill="FFFFFF"/>
        </w:rPr>
        <w:t>近年来，医院大力开展新技术新项目，先后成立了手外科中心、静脉用药调配中心、临床营养中心、介入诊疗中心、医学美容中心、中葡中医药国际合作中心、中医表型组学研究中心等。 </w:t>
      </w:r>
    </w:p>
    <w:p>
      <w:pPr>
        <w:keepNext w:val="0"/>
        <w:keepLines w:val="0"/>
        <w:pageBreakBefore w:val="0"/>
        <w:kinsoku/>
        <w:wordWrap/>
        <w:overflowPunct/>
        <w:topLinePunct w:val="0"/>
        <w:autoSpaceDE/>
        <w:autoSpaceDN/>
        <w:bidi w:val="0"/>
        <w:adjustRightInd/>
        <w:snapToGrid/>
        <w:spacing w:beforeAutospacing="0" w:afterAutospacing="0" w:line="400" w:lineRule="exact"/>
        <w:ind w:firstLine="480"/>
        <w:outlineLvl w:val="9"/>
        <w:rPr>
          <w:rFonts w:hint="eastAsia" w:ascii="宋体" w:hAnsi="宋体" w:eastAsia="宋体" w:cs="宋体"/>
          <w:b w:val="0"/>
          <w:i w:val="0"/>
          <w:caps w:val="0"/>
          <w:color w:val="000000"/>
          <w:spacing w:val="0"/>
          <w:sz w:val="24"/>
          <w:szCs w:val="24"/>
          <w:shd w:val="clear" w:fill="FFFFFF"/>
        </w:rPr>
      </w:pPr>
      <w:r>
        <w:rPr>
          <w:rFonts w:hint="eastAsia" w:ascii="宋体" w:hAnsi="宋体" w:eastAsia="宋体" w:cs="宋体"/>
          <w:b w:val="0"/>
          <w:i w:val="0"/>
          <w:caps w:val="0"/>
          <w:color w:val="000000"/>
          <w:spacing w:val="0"/>
          <w:sz w:val="24"/>
          <w:szCs w:val="24"/>
          <w:shd w:val="clear" w:fill="FFFFFF"/>
        </w:rPr>
        <w:t>医院科研氛围浓厚，先后承担国家自然科学基金课题、863、973子课题等科研项目。医院共建国家中医药管理局三级实验室心肌电生理实验室，拥有四川省中医药管理局二级实验室肝脏生物化学实验室、四川省教育厅高等学校重点实验室和中西医结合研究中心实验室。主持各级科研课题1000余项，其中国家级科研项目30余项，省部级科研项目100余项，获得各级科研成果奖80余项：其中中国中医药研究促进会科技进步二等奖1项、三等奖1项，中华医学会科技进步三等奖2项，四川省科技进步一等奖1项，三等奖20余项；泸州市科技进步奖30余项。发表学术论文2000余篇，其中SCI收录100余篇；获得国家专利授权50余项。开发医院中药制剂56个，拥有科技成果转化公司2个（泸州神农科技开发有限责任公司和四川省中医药转化医学中心泸州分中心）。</w:t>
      </w:r>
      <w:r>
        <w:rPr>
          <w:rFonts w:hint="eastAsia" w:ascii="宋体" w:hAnsi="宋体" w:eastAsia="宋体" w:cs="宋体"/>
          <w:b w:val="0"/>
          <w:i w:val="0"/>
          <w:caps w:val="0"/>
          <w:color w:val="000000"/>
          <w:spacing w:val="0"/>
          <w:sz w:val="24"/>
          <w:szCs w:val="24"/>
          <w:shd w:val="clear" w:fill="FFFFFF"/>
        </w:rPr>
        <w:br w:type="textWrapping"/>
      </w:r>
      <w:r>
        <w:rPr>
          <w:rFonts w:hint="eastAsia" w:ascii="宋体" w:hAnsi="宋体" w:eastAsia="宋体" w:cs="宋体"/>
          <w:b w:val="0"/>
          <w:i w:val="0"/>
          <w:caps w:val="0"/>
          <w:color w:val="000000"/>
          <w:spacing w:val="0"/>
          <w:sz w:val="24"/>
          <w:szCs w:val="24"/>
          <w:shd w:val="clear" w:fill="FFFFFF"/>
        </w:rPr>
        <w:t>    医院先后与德国、美国、日本、加拿大、俄罗斯、葡萄牙、捷克等国家建立了学术交流、长期教学及科研合作关系，成为中国-中东欧国家医院合作联盟单位、国际心脏联合诊疗中心成员单位，成立了捷克中医中心。2011年，成立了以我院牵头的泸州市中医医疗集团，现有163家医疗机构成员单位，有紧密型合作型分院13家。</w:t>
      </w:r>
      <w:r>
        <w:rPr>
          <w:rFonts w:hint="eastAsia" w:ascii="宋体" w:hAnsi="宋体" w:eastAsia="宋体" w:cs="宋体"/>
          <w:b w:val="0"/>
          <w:i w:val="0"/>
          <w:caps w:val="0"/>
          <w:color w:val="000000"/>
          <w:spacing w:val="0"/>
          <w:sz w:val="24"/>
          <w:szCs w:val="24"/>
          <w:shd w:val="clear" w:fill="FFFFFF"/>
        </w:rPr>
        <w:br w:type="textWrapping"/>
      </w:r>
    </w:p>
    <w:p>
      <w:pPr>
        <w:keepNext w:val="0"/>
        <w:keepLines w:val="0"/>
        <w:pageBreakBefore w:val="0"/>
        <w:kinsoku/>
        <w:wordWrap/>
        <w:overflowPunct/>
        <w:topLinePunct w:val="0"/>
        <w:autoSpaceDE/>
        <w:autoSpaceDN/>
        <w:bidi w:val="0"/>
        <w:adjustRightInd/>
        <w:snapToGrid/>
        <w:spacing w:beforeAutospacing="0" w:afterAutospacing="0" w:line="400" w:lineRule="exact"/>
        <w:ind w:firstLine="480"/>
        <w:outlineLvl w:val="9"/>
        <w:rPr>
          <w:rFonts w:hint="eastAsia" w:ascii="宋体" w:hAnsi="宋体" w:eastAsia="宋体" w:cs="宋体"/>
          <w:b w:val="0"/>
          <w:i w:val="0"/>
          <w:caps w:val="0"/>
          <w:color w:val="000000"/>
          <w:spacing w:val="0"/>
          <w:sz w:val="24"/>
          <w:szCs w:val="24"/>
          <w:shd w:val="clear" w:fill="FFFFFF"/>
          <w:lang w:val="en-US" w:eastAsia="zh-CN"/>
        </w:rPr>
      </w:pPr>
      <w:r>
        <w:rPr>
          <w:rFonts w:hint="eastAsia" w:ascii="宋体" w:hAnsi="宋体" w:eastAsia="宋体" w:cs="宋体"/>
          <w:b/>
          <w:bCs/>
          <w:i w:val="0"/>
          <w:caps w:val="0"/>
          <w:color w:val="000000"/>
          <w:spacing w:val="0"/>
          <w:sz w:val="24"/>
          <w:szCs w:val="24"/>
          <w:shd w:val="clear" w:fill="FFFFFF"/>
          <w:lang w:val="en-US" w:eastAsia="zh-CN"/>
        </w:rPr>
        <w:t>二、招聘计划</w:t>
      </w:r>
    </w:p>
    <w:tbl>
      <w:tblPr>
        <w:tblStyle w:val="5"/>
        <w:tblpPr w:vertAnchor="page" w:horzAnchor="page" w:tblpX="1866" w:tblpY="3328"/>
        <w:tblW w:w="8455" w:type="dxa"/>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19"/>
        <w:gridCol w:w="1767"/>
        <w:gridCol w:w="822"/>
        <w:gridCol w:w="1019"/>
        <w:gridCol w:w="38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blCellSpacing w:w="0" w:type="dxa"/>
        </w:trPr>
        <w:tc>
          <w:tcPr>
            <w:tcW w:w="1019"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default" w:ascii="Times New Roman" w:hAnsi="Times New Roman" w:cs="Times New Roman"/>
                <w:color w:val="333333"/>
                <w:sz w:val="21"/>
                <w:szCs w:val="21"/>
              </w:rPr>
            </w:pPr>
            <w:r>
              <w:rPr>
                <w:rStyle w:val="8"/>
                <w:rFonts w:hint="default" w:ascii="΢���ź�" w:hAnsi="΢���ź�" w:eastAsia="΢���ź�" w:cs="΢���ź�"/>
                <w:b/>
                <w:color w:val="333333"/>
                <w:sz w:val="21"/>
                <w:szCs w:val="21"/>
                <w:vertAlign w:val="baseline"/>
              </w:rPr>
              <w:t>科室</w:t>
            </w:r>
          </w:p>
        </w:tc>
        <w:tc>
          <w:tcPr>
            <w:tcW w:w="1767"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default" w:ascii="Times New Roman" w:hAnsi="Times New Roman" w:cs="Times New Roman"/>
                <w:color w:val="333333"/>
                <w:sz w:val="21"/>
                <w:szCs w:val="21"/>
              </w:rPr>
            </w:pPr>
            <w:r>
              <w:rPr>
                <w:rStyle w:val="8"/>
                <w:rFonts w:hint="default" w:ascii="΢���ź�" w:hAnsi="΢���ź�" w:eastAsia="΢���ź�" w:cs="΢���ź�"/>
                <w:b/>
                <w:color w:val="333333"/>
                <w:sz w:val="21"/>
                <w:szCs w:val="21"/>
                <w:vertAlign w:val="baseline"/>
              </w:rPr>
              <w:t>专业</w:t>
            </w:r>
          </w:p>
        </w:tc>
        <w:tc>
          <w:tcPr>
            <w:tcW w:w="822"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default" w:ascii="Times New Roman" w:hAnsi="Times New Roman" w:cs="Times New Roman"/>
                <w:color w:val="333333"/>
                <w:sz w:val="21"/>
                <w:szCs w:val="21"/>
              </w:rPr>
            </w:pPr>
            <w:r>
              <w:rPr>
                <w:rStyle w:val="8"/>
                <w:rFonts w:hint="default" w:ascii="΢���ź�" w:hAnsi="΢���ź�" w:eastAsia="΢���ź�" w:cs="΢���ź�"/>
                <w:b/>
                <w:color w:val="333333"/>
                <w:sz w:val="21"/>
                <w:szCs w:val="21"/>
                <w:vertAlign w:val="baseline"/>
              </w:rPr>
              <w:t>需求人数</w:t>
            </w:r>
          </w:p>
        </w:tc>
        <w:tc>
          <w:tcPr>
            <w:tcW w:w="1019"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default" w:ascii="Times New Roman" w:hAnsi="Times New Roman" w:cs="Times New Roman"/>
                <w:color w:val="333333"/>
                <w:sz w:val="21"/>
                <w:szCs w:val="21"/>
              </w:rPr>
            </w:pPr>
            <w:r>
              <w:rPr>
                <w:rStyle w:val="8"/>
                <w:rFonts w:hint="default" w:ascii="΢���ź�" w:hAnsi="΢���ź�" w:eastAsia="΢���ź�" w:cs="΢���ź�"/>
                <w:b/>
                <w:color w:val="333333"/>
                <w:sz w:val="21"/>
                <w:szCs w:val="21"/>
                <w:vertAlign w:val="baseline"/>
              </w:rPr>
              <w:t>学历要求</w:t>
            </w:r>
          </w:p>
        </w:tc>
        <w:tc>
          <w:tcPr>
            <w:tcW w:w="3828"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default" w:ascii="Times New Roman" w:hAnsi="Times New Roman" w:cs="Times New Roman"/>
                <w:color w:val="333333"/>
                <w:sz w:val="21"/>
                <w:szCs w:val="21"/>
              </w:rPr>
            </w:pPr>
            <w:r>
              <w:rPr>
                <w:rStyle w:val="8"/>
                <w:rFonts w:hint="default" w:ascii="΢���ź�" w:hAnsi="΢���ź�" w:eastAsia="΢���ź�" w:cs="΢���ź�"/>
                <w:b/>
                <w:color w:val="333333"/>
                <w:sz w:val="21"/>
                <w:szCs w:val="21"/>
                <w:vertAlign w:val="baseline"/>
              </w:rPr>
              <w:t>其他要求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blCellSpacing w:w="0" w:type="dxa"/>
        </w:trPr>
        <w:tc>
          <w:tcPr>
            <w:tcW w:w="2786" w:type="dxa"/>
            <w:gridSpan w:val="2"/>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default" w:ascii="Times New Roman" w:hAnsi="Times New Roman" w:cs="Times New Roman"/>
                <w:color w:val="333333"/>
                <w:sz w:val="21"/>
                <w:szCs w:val="21"/>
              </w:rPr>
            </w:pPr>
            <w:r>
              <w:rPr>
                <w:rFonts w:hint="default" w:ascii="Times New Roman" w:hAnsi="Times New Roman" w:eastAsia="΢���ź�" w:cs="Times New Roman"/>
                <w:color w:val="333333"/>
                <w:sz w:val="21"/>
                <w:szCs w:val="21"/>
              </w:rPr>
              <w:t>临床</w:t>
            </w:r>
            <w:r>
              <w:rPr>
                <w:rFonts w:hint="eastAsia" w:ascii="Times New Roman" w:hAnsi="Times New Roman" w:eastAsia="宋体" w:cs="Times New Roman"/>
                <w:color w:val="333333"/>
                <w:sz w:val="21"/>
                <w:szCs w:val="21"/>
                <w:lang w:eastAsia="zh-CN"/>
              </w:rPr>
              <w:t>及相关</w:t>
            </w:r>
            <w:r>
              <w:rPr>
                <w:rFonts w:hint="default" w:ascii="Times New Roman" w:hAnsi="Times New Roman" w:eastAsia="΢���ź�" w:cs="Times New Roman"/>
                <w:color w:val="333333"/>
                <w:sz w:val="21"/>
                <w:szCs w:val="21"/>
              </w:rPr>
              <w:t>专业</w:t>
            </w:r>
          </w:p>
        </w:tc>
        <w:tc>
          <w:tcPr>
            <w:tcW w:w="822"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default" w:ascii="Times New Roman" w:hAnsi="Times New Roman" w:cs="Times New Roman"/>
                <w:color w:val="333333"/>
                <w:sz w:val="21"/>
                <w:szCs w:val="21"/>
              </w:rPr>
            </w:pPr>
            <w:r>
              <w:rPr>
                <w:rFonts w:hint="default" w:ascii="Times New Roman" w:hAnsi="Times New Roman" w:eastAsia="΢���ź�" w:cs="Times New Roman"/>
                <w:color w:val="333333"/>
                <w:sz w:val="21"/>
                <w:szCs w:val="21"/>
              </w:rPr>
              <w:t>10-20</w:t>
            </w:r>
          </w:p>
        </w:tc>
        <w:tc>
          <w:tcPr>
            <w:tcW w:w="1019"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default" w:ascii="Times New Roman" w:hAnsi="Times New Roman" w:cs="Times New Roman"/>
                <w:color w:val="333333"/>
                <w:sz w:val="21"/>
                <w:szCs w:val="21"/>
              </w:rPr>
            </w:pPr>
            <w:r>
              <w:rPr>
                <w:rFonts w:hint="default" w:ascii="Times New Roman" w:hAnsi="Times New Roman" w:eastAsia="΢���ź�" w:cs="Times New Roman"/>
                <w:color w:val="333333"/>
                <w:sz w:val="21"/>
                <w:szCs w:val="21"/>
              </w:rPr>
              <w:t>博士</w:t>
            </w:r>
          </w:p>
        </w:tc>
        <w:tc>
          <w:tcPr>
            <w:tcW w:w="3828"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default" w:ascii="Times New Roman" w:hAnsi="Times New Roman" w:cs="Times New Roman"/>
                <w:color w:val="333333"/>
                <w:sz w:val="21"/>
                <w:szCs w:val="21"/>
              </w:rPr>
            </w:pPr>
            <w:r>
              <w:rPr>
                <w:rFonts w:hint="default" w:ascii="Times New Roman" w:hAnsi="Times New Roman" w:eastAsia="΢���ź�" w:cs="Times New Roman"/>
                <w:color w:val="333333"/>
                <w:sz w:val="21"/>
                <w:szCs w:val="21"/>
              </w:rPr>
              <w:t>具备执业资格。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blCellSpacing w:w="0" w:type="dxa"/>
        </w:trPr>
        <w:tc>
          <w:tcPr>
            <w:tcW w:w="1019"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default" w:ascii="Times New Roman" w:hAnsi="Times New Roman" w:cs="Times New Roman"/>
                <w:color w:val="333333"/>
                <w:sz w:val="21"/>
                <w:szCs w:val="21"/>
              </w:rPr>
            </w:pPr>
            <w:r>
              <w:rPr>
                <w:rFonts w:hint="default" w:ascii="Times New Roman" w:hAnsi="Times New Roman" w:eastAsia="΢���ź�" w:cs="Times New Roman"/>
                <w:color w:val="333333"/>
                <w:sz w:val="21"/>
                <w:szCs w:val="21"/>
              </w:rPr>
              <w:t>儿科</w:t>
            </w:r>
          </w:p>
        </w:tc>
        <w:tc>
          <w:tcPr>
            <w:tcW w:w="1767"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default" w:ascii="Times New Roman" w:hAnsi="Times New Roman" w:cs="Times New Roman"/>
                <w:color w:val="333333"/>
                <w:sz w:val="21"/>
                <w:szCs w:val="21"/>
              </w:rPr>
            </w:pPr>
            <w:r>
              <w:rPr>
                <w:rFonts w:hint="default" w:ascii="Times New Roman" w:hAnsi="Times New Roman" w:eastAsia="΢���ź�" w:cs="Times New Roman"/>
                <w:color w:val="333333"/>
                <w:sz w:val="21"/>
                <w:szCs w:val="21"/>
              </w:rPr>
              <w:t>中西医结合</w:t>
            </w:r>
            <w:r>
              <w:rPr>
                <w:rFonts w:hint="eastAsia" w:ascii="Times New Roman" w:hAnsi="Times New Roman" w:eastAsia="宋体" w:cs="Times New Roman"/>
                <w:color w:val="333333"/>
                <w:sz w:val="21"/>
                <w:szCs w:val="21"/>
                <w:lang w:eastAsia="zh-CN"/>
              </w:rPr>
              <w:t>临床</w:t>
            </w:r>
            <w:r>
              <w:rPr>
                <w:rFonts w:hint="default" w:ascii="Times New Roman" w:hAnsi="Times New Roman" w:eastAsia="΢���ź�" w:cs="Times New Roman"/>
                <w:color w:val="333333"/>
                <w:sz w:val="21"/>
                <w:szCs w:val="21"/>
              </w:rPr>
              <w:t>、中医儿科学、儿科学</w:t>
            </w:r>
          </w:p>
        </w:tc>
        <w:tc>
          <w:tcPr>
            <w:tcW w:w="822"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default" w:ascii="Times New Roman" w:hAnsi="Times New Roman" w:cs="Times New Roman"/>
                <w:color w:val="333333"/>
                <w:sz w:val="21"/>
                <w:szCs w:val="21"/>
              </w:rPr>
            </w:pPr>
            <w:r>
              <w:rPr>
                <w:rFonts w:hint="default" w:ascii="Times New Roman" w:hAnsi="Times New Roman" w:eastAsia="΢���ź�" w:cs="Times New Roman"/>
                <w:color w:val="333333"/>
                <w:sz w:val="21"/>
                <w:szCs w:val="21"/>
              </w:rPr>
              <w:t>1-2</w:t>
            </w:r>
          </w:p>
        </w:tc>
        <w:tc>
          <w:tcPr>
            <w:tcW w:w="1019"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default" w:ascii="Times New Roman" w:hAnsi="Times New Roman" w:cs="Times New Roman"/>
                <w:color w:val="333333"/>
                <w:sz w:val="21"/>
                <w:szCs w:val="21"/>
              </w:rPr>
            </w:pPr>
            <w:r>
              <w:rPr>
                <w:rFonts w:hint="default" w:ascii="Times New Roman" w:hAnsi="Times New Roman" w:eastAsia="΢���ź�" w:cs="Times New Roman"/>
                <w:color w:val="333333"/>
                <w:sz w:val="21"/>
                <w:szCs w:val="21"/>
              </w:rPr>
              <w:t>硕士及以上</w:t>
            </w:r>
          </w:p>
        </w:tc>
        <w:tc>
          <w:tcPr>
            <w:tcW w:w="3828"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default" w:ascii="Times New Roman" w:hAnsi="Times New Roman" w:cs="Times New Roman"/>
                <w:color w:val="333333"/>
                <w:sz w:val="21"/>
                <w:szCs w:val="21"/>
              </w:rPr>
            </w:pPr>
            <w:r>
              <w:rPr>
                <w:rFonts w:hint="default" w:ascii="Times New Roman" w:hAnsi="Times New Roman" w:eastAsia="΢���ź�" w:cs="Times New Roman"/>
                <w:color w:val="333333"/>
                <w:sz w:val="21"/>
                <w:szCs w:val="21"/>
              </w:rPr>
              <w:t>具备执业资格</w:t>
            </w:r>
            <w:r>
              <w:rPr>
                <w:rFonts w:hint="eastAsia" w:ascii="Times New Roman" w:hAnsi="Times New Roman" w:eastAsia="宋体" w:cs="Times New Roman"/>
                <w:color w:val="333333"/>
                <w:sz w:val="21"/>
                <w:szCs w:val="21"/>
                <w:lang w:eastAsia="zh-CN"/>
              </w:rPr>
              <w:t>，有相关工作经验者优先。</w:t>
            </w:r>
            <w:r>
              <w:rPr>
                <w:rFonts w:hint="default" w:ascii="Times New Roman" w:hAnsi="Times New Roman" w:eastAsia="΢���ź�" w:cs="Times New Roman"/>
                <w:color w:val="333333"/>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blCellSpacing w:w="0" w:type="dxa"/>
        </w:trPr>
        <w:tc>
          <w:tcPr>
            <w:tcW w:w="1019"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default" w:ascii="Times New Roman" w:hAnsi="Times New Roman" w:cs="Times New Roman"/>
                <w:color w:val="333333"/>
                <w:sz w:val="21"/>
                <w:szCs w:val="21"/>
              </w:rPr>
            </w:pPr>
            <w:r>
              <w:rPr>
                <w:rFonts w:hint="default" w:ascii="Times New Roman" w:hAnsi="Times New Roman" w:eastAsia="΢���ź�" w:cs="Times New Roman"/>
                <w:color w:val="333333"/>
                <w:sz w:val="21"/>
                <w:szCs w:val="21"/>
              </w:rPr>
              <w:t>检验科</w:t>
            </w:r>
          </w:p>
        </w:tc>
        <w:tc>
          <w:tcPr>
            <w:tcW w:w="1767"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default" w:ascii="Times New Roman" w:hAnsi="Times New Roman" w:cs="Times New Roman"/>
                <w:color w:val="333333"/>
                <w:sz w:val="21"/>
                <w:szCs w:val="21"/>
              </w:rPr>
            </w:pPr>
            <w:r>
              <w:rPr>
                <w:rFonts w:hint="default" w:ascii="Times New Roman" w:hAnsi="Times New Roman" w:eastAsia="΢���ź�" w:cs="Times New Roman"/>
                <w:color w:val="333333"/>
                <w:sz w:val="21"/>
                <w:szCs w:val="21"/>
              </w:rPr>
              <w:t>临床检验诊断学</w:t>
            </w:r>
          </w:p>
        </w:tc>
        <w:tc>
          <w:tcPr>
            <w:tcW w:w="822"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eastAsia" w:ascii="Times New Roman" w:hAnsi="Times New Roman" w:eastAsia="宋体" w:cs="Times New Roman"/>
                <w:color w:val="333333"/>
                <w:sz w:val="21"/>
                <w:szCs w:val="21"/>
                <w:lang w:eastAsia="zh-CN"/>
              </w:rPr>
            </w:pPr>
            <w:r>
              <w:rPr>
                <w:rFonts w:hint="eastAsia" w:ascii="Times New Roman" w:hAnsi="Times New Roman" w:eastAsia="宋体" w:cs="Times New Roman"/>
                <w:color w:val="333333"/>
                <w:sz w:val="21"/>
                <w:szCs w:val="21"/>
                <w:lang w:val="en-US" w:eastAsia="zh-CN"/>
              </w:rPr>
              <w:t>2</w:t>
            </w:r>
            <w:r>
              <w:rPr>
                <w:rFonts w:hint="default" w:ascii="Times New Roman" w:hAnsi="Times New Roman" w:eastAsia="΢���ź�" w:cs="Times New Roman"/>
                <w:color w:val="333333"/>
                <w:sz w:val="21"/>
                <w:szCs w:val="21"/>
              </w:rPr>
              <w:t>-</w:t>
            </w:r>
            <w:r>
              <w:rPr>
                <w:rFonts w:hint="eastAsia" w:ascii="Times New Roman" w:hAnsi="Times New Roman" w:eastAsia="宋体" w:cs="Times New Roman"/>
                <w:color w:val="333333"/>
                <w:sz w:val="21"/>
                <w:szCs w:val="21"/>
                <w:lang w:val="en-US" w:eastAsia="zh-CN"/>
              </w:rPr>
              <w:t>4</w:t>
            </w:r>
          </w:p>
        </w:tc>
        <w:tc>
          <w:tcPr>
            <w:tcW w:w="1019"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default" w:ascii="Times New Roman" w:hAnsi="Times New Roman" w:cs="Times New Roman"/>
                <w:color w:val="333333"/>
                <w:sz w:val="21"/>
                <w:szCs w:val="21"/>
              </w:rPr>
            </w:pPr>
            <w:r>
              <w:rPr>
                <w:rFonts w:hint="default" w:ascii="Times New Roman" w:hAnsi="Times New Roman" w:eastAsia="΢���ź�" w:cs="Times New Roman"/>
                <w:color w:val="333333"/>
                <w:sz w:val="21"/>
                <w:szCs w:val="21"/>
              </w:rPr>
              <w:t>硕士及以上</w:t>
            </w:r>
          </w:p>
        </w:tc>
        <w:tc>
          <w:tcPr>
            <w:tcW w:w="3828"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default" w:ascii="Times New Roman" w:hAnsi="Times New Roman" w:cs="Times New Roman"/>
                <w:color w:val="333333"/>
                <w:sz w:val="21"/>
                <w:szCs w:val="21"/>
              </w:rPr>
            </w:pPr>
            <w:r>
              <w:rPr>
                <w:rFonts w:hint="default" w:ascii="Times New Roman" w:hAnsi="Times New Roman" w:eastAsia="΢���ź�" w:cs="Times New Roman"/>
                <w:color w:val="333333"/>
                <w:sz w:val="21"/>
                <w:szCs w:val="21"/>
              </w:rPr>
              <w:t>具备执业资格。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blCellSpacing w:w="0" w:type="dxa"/>
        </w:trPr>
        <w:tc>
          <w:tcPr>
            <w:tcW w:w="1019"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default" w:ascii="Times New Roman" w:hAnsi="Times New Roman" w:cs="Times New Roman"/>
                <w:color w:val="333333"/>
                <w:sz w:val="21"/>
                <w:szCs w:val="21"/>
              </w:rPr>
            </w:pPr>
            <w:r>
              <w:rPr>
                <w:rFonts w:hint="default" w:ascii="Times New Roman" w:hAnsi="Times New Roman" w:eastAsia="΢���ź�" w:cs="Times New Roman"/>
                <w:color w:val="333333"/>
                <w:sz w:val="21"/>
                <w:szCs w:val="21"/>
              </w:rPr>
              <w:t>超声影像科</w:t>
            </w:r>
          </w:p>
        </w:tc>
        <w:tc>
          <w:tcPr>
            <w:tcW w:w="1767"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default" w:ascii="Times New Roman" w:hAnsi="Times New Roman" w:cs="Times New Roman"/>
                <w:color w:val="333333"/>
                <w:sz w:val="21"/>
                <w:szCs w:val="21"/>
              </w:rPr>
            </w:pPr>
            <w:r>
              <w:rPr>
                <w:rFonts w:hint="default" w:ascii="Times New Roman" w:hAnsi="Times New Roman" w:eastAsia="΢���ź�" w:cs="Times New Roman"/>
                <w:color w:val="333333"/>
                <w:sz w:val="21"/>
                <w:szCs w:val="21"/>
              </w:rPr>
              <w:t>医学影像学</w:t>
            </w:r>
          </w:p>
        </w:tc>
        <w:tc>
          <w:tcPr>
            <w:tcW w:w="822"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default" w:ascii="Times New Roman" w:hAnsi="Times New Roman" w:cs="Times New Roman"/>
                <w:color w:val="333333"/>
                <w:sz w:val="21"/>
                <w:szCs w:val="21"/>
              </w:rPr>
            </w:pPr>
            <w:r>
              <w:rPr>
                <w:rFonts w:hint="default" w:ascii="Times New Roman" w:hAnsi="Times New Roman" w:eastAsia="΢���ź�" w:cs="Times New Roman"/>
                <w:color w:val="333333"/>
                <w:sz w:val="21"/>
                <w:szCs w:val="21"/>
              </w:rPr>
              <w:t>1-2</w:t>
            </w:r>
          </w:p>
        </w:tc>
        <w:tc>
          <w:tcPr>
            <w:tcW w:w="1019"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default" w:ascii="Times New Roman" w:hAnsi="Times New Roman" w:cs="Times New Roman"/>
                <w:color w:val="333333"/>
                <w:sz w:val="21"/>
                <w:szCs w:val="21"/>
              </w:rPr>
            </w:pPr>
            <w:r>
              <w:rPr>
                <w:rFonts w:hint="eastAsia" w:ascii="Times New Roman" w:hAnsi="Times New Roman" w:eastAsia="宋体" w:cs="Times New Roman"/>
                <w:color w:val="333333"/>
                <w:sz w:val="21"/>
                <w:szCs w:val="21"/>
                <w:lang w:eastAsia="zh-CN"/>
              </w:rPr>
              <w:t>硕士</w:t>
            </w:r>
            <w:r>
              <w:rPr>
                <w:rFonts w:hint="default" w:ascii="Times New Roman" w:hAnsi="Times New Roman" w:eastAsia="΢���ź�" w:cs="Times New Roman"/>
                <w:color w:val="333333"/>
                <w:sz w:val="21"/>
                <w:szCs w:val="21"/>
              </w:rPr>
              <w:t>及以上</w:t>
            </w:r>
          </w:p>
        </w:tc>
        <w:tc>
          <w:tcPr>
            <w:tcW w:w="3828"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default" w:ascii="Times New Roman" w:hAnsi="Times New Roman" w:cs="Times New Roman"/>
                <w:color w:val="333333"/>
                <w:sz w:val="21"/>
                <w:szCs w:val="21"/>
              </w:rPr>
            </w:pPr>
            <w:r>
              <w:rPr>
                <w:rFonts w:hint="default" w:ascii="Times New Roman" w:hAnsi="Times New Roman" w:eastAsia="΢���ź�" w:cs="Times New Roman"/>
                <w:color w:val="333333"/>
                <w:sz w:val="21"/>
                <w:szCs w:val="21"/>
              </w:rPr>
              <w:t>具备执业资格</w:t>
            </w:r>
            <w:r>
              <w:rPr>
                <w:rFonts w:hint="eastAsia" w:ascii="Times New Roman" w:hAnsi="Times New Roman" w:eastAsia="宋体" w:cs="Times New Roman"/>
                <w:color w:val="333333"/>
                <w:sz w:val="21"/>
                <w:szCs w:val="21"/>
                <w:lang w:eastAsia="zh-CN"/>
              </w:rPr>
              <w:t>三级医院相关工作经验或已规培结业</w:t>
            </w:r>
            <w:r>
              <w:rPr>
                <w:rFonts w:hint="default" w:ascii="Times New Roman" w:hAnsi="Times New Roman" w:eastAsia="΢���ź�" w:cs="Times New Roman"/>
                <w:color w:val="333333"/>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blCellSpacing w:w="0" w:type="dxa"/>
        </w:trPr>
        <w:tc>
          <w:tcPr>
            <w:tcW w:w="1019"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default" w:ascii="Times New Roman" w:hAnsi="Times New Roman" w:cs="Times New Roman"/>
                <w:color w:val="333333"/>
                <w:sz w:val="21"/>
                <w:szCs w:val="21"/>
              </w:rPr>
            </w:pPr>
            <w:r>
              <w:rPr>
                <w:rFonts w:hint="default" w:ascii="Times New Roman" w:hAnsi="Times New Roman" w:eastAsia="΢���ź�" w:cs="Times New Roman"/>
                <w:color w:val="333333"/>
                <w:sz w:val="21"/>
                <w:szCs w:val="21"/>
              </w:rPr>
              <w:t>放射影像科</w:t>
            </w:r>
          </w:p>
        </w:tc>
        <w:tc>
          <w:tcPr>
            <w:tcW w:w="1767"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default" w:ascii="Times New Roman" w:hAnsi="Times New Roman" w:cs="Times New Roman"/>
                <w:color w:val="333333"/>
                <w:sz w:val="21"/>
                <w:szCs w:val="21"/>
              </w:rPr>
            </w:pPr>
            <w:r>
              <w:rPr>
                <w:rFonts w:hint="default" w:ascii="Times New Roman" w:hAnsi="Times New Roman" w:eastAsia="΢���ź�" w:cs="Times New Roman"/>
                <w:color w:val="333333"/>
                <w:sz w:val="21"/>
                <w:szCs w:val="21"/>
              </w:rPr>
              <w:t>影像诊断与核医学</w:t>
            </w:r>
          </w:p>
        </w:tc>
        <w:tc>
          <w:tcPr>
            <w:tcW w:w="822"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default" w:ascii="Times New Roman" w:hAnsi="Times New Roman" w:cs="Times New Roman"/>
                <w:color w:val="333333"/>
                <w:sz w:val="21"/>
                <w:szCs w:val="21"/>
              </w:rPr>
            </w:pPr>
            <w:r>
              <w:rPr>
                <w:rFonts w:hint="default" w:ascii="Times New Roman" w:hAnsi="Times New Roman" w:eastAsia="΢���ź�" w:cs="Times New Roman"/>
                <w:color w:val="333333"/>
                <w:sz w:val="21"/>
                <w:szCs w:val="21"/>
              </w:rPr>
              <w:t>1-2</w:t>
            </w:r>
          </w:p>
        </w:tc>
        <w:tc>
          <w:tcPr>
            <w:tcW w:w="1019"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default" w:ascii="Times New Roman" w:hAnsi="Times New Roman" w:cs="Times New Roman"/>
                <w:color w:val="333333"/>
                <w:sz w:val="21"/>
                <w:szCs w:val="21"/>
              </w:rPr>
            </w:pPr>
            <w:r>
              <w:rPr>
                <w:rFonts w:hint="default" w:ascii="Times New Roman" w:hAnsi="Times New Roman" w:eastAsia="΢���ź�" w:cs="Times New Roman"/>
                <w:color w:val="333333"/>
                <w:sz w:val="21"/>
                <w:szCs w:val="21"/>
              </w:rPr>
              <w:t>硕士及以上</w:t>
            </w:r>
          </w:p>
        </w:tc>
        <w:tc>
          <w:tcPr>
            <w:tcW w:w="3828"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default" w:ascii="Times New Roman" w:hAnsi="Times New Roman" w:cs="Times New Roman"/>
                <w:color w:val="333333"/>
                <w:sz w:val="21"/>
                <w:szCs w:val="21"/>
              </w:rPr>
            </w:pPr>
            <w:r>
              <w:rPr>
                <w:rFonts w:hint="default" w:ascii="Times New Roman" w:hAnsi="Times New Roman" w:eastAsia="΢���ź�" w:cs="Times New Roman"/>
                <w:color w:val="333333"/>
                <w:sz w:val="21"/>
                <w:szCs w:val="21"/>
              </w:rPr>
              <w:t>具备执业资格。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blCellSpacing w:w="0" w:type="dxa"/>
        </w:trPr>
        <w:tc>
          <w:tcPr>
            <w:tcW w:w="1019"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default" w:ascii="Times New Roman" w:hAnsi="Times New Roman" w:eastAsia="΢���ź�" w:cs="Times New Roman"/>
                <w:color w:val="333333"/>
                <w:sz w:val="21"/>
                <w:szCs w:val="21"/>
              </w:rPr>
            </w:pPr>
            <w:r>
              <w:rPr>
                <w:rFonts w:hint="default" w:ascii="Times New Roman" w:hAnsi="Times New Roman" w:eastAsia="΢���ź�" w:cs="Times New Roman"/>
                <w:color w:val="333333"/>
                <w:sz w:val="21"/>
                <w:szCs w:val="21"/>
              </w:rPr>
              <w:t>中西医结合研究中心</w:t>
            </w:r>
          </w:p>
        </w:tc>
        <w:tc>
          <w:tcPr>
            <w:tcW w:w="1767"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default" w:ascii="Times New Roman" w:hAnsi="Times New Roman" w:eastAsia="΢���ź�" w:cs="Times New Roman"/>
                <w:color w:val="333333"/>
                <w:sz w:val="21"/>
                <w:szCs w:val="21"/>
              </w:rPr>
            </w:pPr>
            <w:r>
              <w:rPr>
                <w:rFonts w:hint="default" w:ascii="Times New Roman" w:hAnsi="Times New Roman" w:eastAsia="΢���ź�" w:cs="Times New Roman"/>
                <w:color w:val="333333"/>
                <w:sz w:val="21"/>
                <w:szCs w:val="21"/>
              </w:rPr>
              <w:t>药学/医学免疫学</w:t>
            </w:r>
          </w:p>
        </w:tc>
        <w:tc>
          <w:tcPr>
            <w:tcW w:w="822"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default" w:ascii="Times New Roman" w:hAnsi="Times New Roman" w:eastAsia="΢���ź�" w:cs="Times New Roman"/>
                <w:color w:val="333333"/>
                <w:sz w:val="21"/>
                <w:szCs w:val="21"/>
              </w:rPr>
            </w:pPr>
            <w:r>
              <w:rPr>
                <w:rFonts w:hint="default" w:ascii="Times New Roman" w:hAnsi="Times New Roman" w:eastAsia="΢���ź�" w:cs="Times New Roman"/>
                <w:color w:val="333333"/>
                <w:sz w:val="21"/>
                <w:szCs w:val="21"/>
              </w:rPr>
              <w:t>1-2</w:t>
            </w:r>
          </w:p>
        </w:tc>
        <w:tc>
          <w:tcPr>
            <w:tcW w:w="1019"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center"/>
              <w:outlineLvl w:val="9"/>
              <w:rPr>
                <w:rFonts w:hint="default" w:ascii="Times New Roman" w:hAnsi="Times New Roman" w:eastAsia="΢���ź�" w:cs="Times New Roman"/>
                <w:color w:val="333333"/>
                <w:sz w:val="21"/>
                <w:szCs w:val="21"/>
              </w:rPr>
            </w:pPr>
            <w:r>
              <w:rPr>
                <w:rFonts w:hint="default" w:ascii="Times New Roman" w:hAnsi="Times New Roman" w:eastAsia="΢���ź�" w:cs="Times New Roman"/>
                <w:color w:val="333333"/>
                <w:sz w:val="21"/>
                <w:szCs w:val="21"/>
              </w:rPr>
              <w:t>硕士及以上</w:t>
            </w:r>
          </w:p>
        </w:tc>
        <w:tc>
          <w:tcPr>
            <w:tcW w:w="3828"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both"/>
              <w:textAlignment w:val="center"/>
              <w:outlineLvl w:val="9"/>
              <w:rPr>
                <w:rFonts w:hint="default" w:ascii="Times New Roman" w:hAnsi="Times New Roman" w:eastAsia="΢���ź�" w:cs="Times New Roman"/>
                <w:color w:val="333333"/>
                <w:sz w:val="21"/>
                <w:szCs w:val="21"/>
              </w:rPr>
            </w:pPr>
            <w:r>
              <w:rPr>
                <w:rFonts w:hint="default" w:ascii="Times New Roman" w:hAnsi="Times New Roman" w:eastAsia="΢���ź�" w:cs="Times New Roman"/>
                <w:color w:val="333333"/>
                <w:sz w:val="21"/>
                <w:szCs w:val="21"/>
              </w:rPr>
              <w:t>有中药研发经历，具备独立申请科研项目的能力和经验，以第一或通讯作者发表SCI论文1篇及以上（IF≥3）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blCellSpacing w:w="0" w:type="dxa"/>
        </w:trPr>
        <w:tc>
          <w:tcPr>
            <w:tcW w:w="1019"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outlineLvl w:val="9"/>
              <w:rPr>
                <w:rFonts w:hint="default" w:ascii="Times New Roman" w:hAnsi="Times New Roman" w:eastAsia="΢���ź�" w:cs="Times New Roman"/>
                <w:color w:val="333333"/>
                <w:sz w:val="21"/>
                <w:szCs w:val="21"/>
              </w:rPr>
            </w:pPr>
            <w:r>
              <w:rPr>
                <w:rFonts w:hint="default" w:ascii="Times New Roman" w:hAnsi="Times New Roman" w:eastAsia="΢���ź�" w:cs="Times New Roman"/>
                <w:color w:val="333333"/>
                <w:sz w:val="21"/>
                <w:szCs w:val="21"/>
              </w:rPr>
              <w:t>护理</w:t>
            </w:r>
          </w:p>
        </w:tc>
        <w:tc>
          <w:tcPr>
            <w:tcW w:w="1767"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outlineLvl w:val="9"/>
              <w:rPr>
                <w:rFonts w:hint="default" w:ascii="Times New Roman" w:hAnsi="Times New Roman" w:eastAsia="΢���ź�" w:cs="Times New Roman"/>
                <w:color w:val="333333"/>
                <w:sz w:val="21"/>
                <w:szCs w:val="21"/>
              </w:rPr>
            </w:pPr>
            <w:r>
              <w:rPr>
                <w:rFonts w:hint="default" w:ascii="Times New Roman" w:hAnsi="Times New Roman" w:eastAsia="΢���ź�" w:cs="Times New Roman"/>
                <w:color w:val="333333"/>
                <w:sz w:val="21"/>
                <w:szCs w:val="21"/>
              </w:rPr>
              <w:t>临床护理/中医护理</w:t>
            </w:r>
          </w:p>
        </w:tc>
        <w:tc>
          <w:tcPr>
            <w:tcW w:w="822"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outlineLvl w:val="9"/>
              <w:rPr>
                <w:rFonts w:hint="default" w:ascii="Times New Roman" w:hAnsi="Times New Roman" w:eastAsia="΢���ź�" w:cs="Times New Roman"/>
                <w:color w:val="333333"/>
                <w:sz w:val="21"/>
                <w:szCs w:val="21"/>
              </w:rPr>
            </w:pPr>
            <w:r>
              <w:rPr>
                <w:rFonts w:hint="default" w:ascii="Times New Roman" w:hAnsi="Times New Roman" w:eastAsia="΢���ź�" w:cs="Times New Roman"/>
                <w:color w:val="333333"/>
                <w:sz w:val="21"/>
                <w:szCs w:val="21"/>
              </w:rPr>
              <w:t>20-40</w:t>
            </w:r>
          </w:p>
        </w:tc>
        <w:tc>
          <w:tcPr>
            <w:tcW w:w="1019"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outlineLvl w:val="9"/>
              <w:rPr>
                <w:rFonts w:hint="default" w:ascii="Times New Roman" w:hAnsi="Times New Roman" w:eastAsia="΢���ź�" w:cs="Times New Roman"/>
                <w:color w:val="333333"/>
                <w:sz w:val="21"/>
                <w:szCs w:val="21"/>
              </w:rPr>
            </w:pPr>
            <w:r>
              <w:rPr>
                <w:rFonts w:hint="eastAsia" w:ascii="Times New Roman" w:hAnsi="Times New Roman" w:eastAsia="宋体" w:cs="Times New Roman"/>
                <w:color w:val="333333"/>
                <w:sz w:val="21"/>
                <w:szCs w:val="21"/>
                <w:lang w:eastAsia="zh-CN"/>
              </w:rPr>
              <w:t>全日制</w:t>
            </w:r>
            <w:r>
              <w:rPr>
                <w:rFonts w:hint="default" w:ascii="Times New Roman" w:hAnsi="Times New Roman" w:eastAsia="΢���ź�" w:cs="Times New Roman"/>
                <w:color w:val="333333"/>
                <w:sz w:val="21"/>
                <w:szCs w:val="21"/>
              </w:rPr>
              <w:t>本科及以上</w:t>
            </w:r>
          </w:p>
        </w:tc>
        <w:tc>
          <w:tcPr>
            <w:tcW w:w="3828" w:type="dxa"/>
            <w:tcBorders>
              <w:top w:val="single" w:color="A0A0A0" w:sz="6" w:space="0"/>
              <w:left w:val="single" w:color="A0A0A0" w:sz="6" w:space="0"/>
              <w:bottom w:val="single" w:color="A0A0A0" w:sz="6" w:space="0"/>
              <w:right w:val="single" w:color="A0A0A0" w:sz="6" w:space="0"/>
            </w:tcBorders>
            <w:shd w:val="clear" w:color="auto" w:fill="auto"/>
            <w:tcMar>
              <w:top w:w="75" w:type="dxa"/>
              <w:left w:w="75" w:type="dxa"/>
              <w:bottom w:w="75" w:type="dxa"/>
              <w:right w:w="75" w:type="dxa"/>
            </w:tcMar>
            <w:vAlign w:val="center"/>
          </w:tcPr>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both"/>
              <w:textAlignment w:val="center"/>
              <w:outlineLvl w:val="9"/>
              <w:rPr>
                <w:rFonts w:hint="default" w:ascii="Times New Roman" w:hAnsi="Times New Roman" w:eastAsia="΢���ź�" w:cs="Times New Roman"/>
                <w:color w:val="333333"/>
                <w:sz w:val="21"/>
                <w:szCs w:val="21"/>
              </w:rPr>
            </w:pPr>
          </w:p>
        </w:tc>
      </w:tr>
    </w:tbl>
    <w:p>
      <w:pPr>
        <w:keepNext w:val="0"/>
        <w:keepLines w:val="0"/>
        <w:pageBreakBefore w:val="0"/>
        <w:kinsoku/>
        <w:wordWrap/>
        <w:overflowPunct/>
        <w:topLinePunct w:val="0"/>
        <w:autoSpaceDE/>
        <w:autoSpaceDN/>
        <w:bidi w:val="0"/>
        <w:adjustRightInd/>
        <w:snapToGrid/>
        <w:spacing w:beforeAutospacing="0" w:afterAutospacing="0" w:line="400" w:lineRule="exact"/>
        <w:outlineLvl w:val="9"/>
        <w:rPr>
          <w:rFonts w:hint="eastAsia" w:ascii="宋体" w:hAnsi="宋体" w:eastAsia="宋体" w:cs="宋体"/>
          <w:b w:val="0"/>
          <w:i w:val="0"/>
          <w:caps w:val="0"/>
          <w:color w:val="000000"/>
          <w:spacing w:val="0"/>
          <w:sz w:val="24"/>
          <w:szCs w:val="24"/>
          <w:shd w:val="clear" w:fill="FFFFFF"/>
        </w:rPr>
      </w:pP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400" w:lineRule="exact"/>
        <w:ind w:right="0" w:rightChars="0"/>
        <w:outlineLvl w:val="9"/>
        <w:rPr>
          <w:rFonts w:hint="eastAsia"/>
          <w:lang w:val="en-US" w:eastAsia="zh-CN"/>
        </w:rPr>
      </w:pPr>
      <w:r>
        <w:rPr>
          <w:rFonts w:hint="eastAsia"/>
          <w:lang w:val="en-US" w:eastAsia="zh-CN"/>
        </w:rPr>
        <w:t>三、联系方式</w:t>
      </w: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400" w:lineRule="exact"/>
        <w:ind w:right="0" w:rightChars="0"/>
        <w:outlineLvl w:val="9"/>
      </w:pPr>
      <w:r>
        <w:rPr>
          <w:rFonts w:hint="eastAsia"/>
          <w:lang w:val="en-US" w:eastAsia="zh-CN"/>
        </w:rPr>
        <w:t>联系</w:t>
      </w:r>
      <w:r>
        <w:t>电话：0830-3161859</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outlineLvl w:val="9"/>
      </w:pPr>
      <w:r>
        <w:t xml:space="preserve">联系人：王老师 </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outlineLvl w:val="9"/>
        <w:rPr>
          <w:rFonts w:hint="eastAsia" w:eastAsiaTheme="minorEastAsia"/>
          <w:lang w:val="en-US" w:eastAsia="zh-CN"/>
        </w:rPr>
      </w:pPr>
      <w:r>
        <w:t>简历接收邮箱：</w:t>
      </w:r>
      <w:r>
        <w:fldChar w:fldCharType="begin"/>
      </w:r>
      <w:r>
        <w:instrText xml:space="preserve"> HYPERLINK "mailto:lyzyyyrsk@163.com" </w:instrText>
      </w:r>
      <w:r>
        <w:fldChar w:fldCharType="separate"/>
      </w:r>
      <w:r>
        <w:t>lyzyyyrsk@163.com</w:t>
      </w:r>
      <w:r>
        <w:fldChar w:fldCharType="end"/>
      </w:r>
      <w:r>
        <w:rPr>
          <w:rFonts w:hint="eastAsia"/>
          <w:lang w:val="en-US" w:eastAsia="zh-CN"/>
        </w:rPr>
        <w:t xml:space="preserve"> 抄送xnykzp@126.com （邮件标题：高层次人才网+姓名+专业+学历+毕业院校）</w:t>
      </w:r>
      <w:r>
        <w:rPr>
          <w:rFonts w:hint="eastAsia"/>
        </w:rPr>
        <w:t>　　</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outlineLvl w:val="9"/>
        <w:rPr>
          <w:rFonts w:hint="eastAsia" w:ascii="宋体" w:hAnsi="宋体" w:eastAsia="宋体" w:cs="宋体"/>
          <w:b w:val="0"/>
          <w:i w:val="0"/>
          <w:caps w:val="0"/>
          <w:color w:val="000000"/>
          <w:spacing w:val="0"/>
          <w:sz w:val="24"/>
          <w:szCs w:val="24"/>
          <w:shd w:val="clear" w:fill="FFFFFF"/>
        </w:rPr>
      </w:pPr>
      <w:r>
        <w:t xml:space="preserve">邮编：646000 </w:t>
      </w:r>
    </w:p>
    <w:p>
      <w:pPr>
        <w:keepNext w:val="0"/>
        <w:keepLines w:val="0"/>
        <w:pageBreakBefore w:val="0"/>
        <w:kinsoku/>
        <w:wordWrap/>
        <w:overflowPunct/>
        <w:topLinePunct w:val="0"/>
        <w:autoSpaceDE/>
        <w:autoSpaceDN/>
        <w:bidi w:val="0"/>
        <w:adjustRightInd/>
        <w:snapToGrid/>
        <w:spacing w:beforeAutospacing="0" w:afterAutospacing="0" w:line="400" w:lineRule="exact"/>
        <w:outlineLvl w:val="9"/>
        <w:rPr>
          <w:rFonts w:hint="eastAsia" w:ascii="宋体" w:hAnsi="宋体" w:eastAsia="宋体" w:cs="宋体"/>
          <w:b w:val="0"/>
          <w:i w:val="0"/>
          <w:caps w:val="0"/>
          <w:color w:val="000000"/>
          <w:spacing w:val="0"/>
          <w:sz w:val="24"/>
          <w:szCs w:val="24"/>
          <w:shd w:val="clear" w:fill="FFFFFF"/>
        </w:rPr>
      </w:pPr>
    </w:p>
    <w:p>
      <w:pPr>
        <w:spacing w:after="0" w:line="560" w:lineRule="exact"/>
        <w:jc w:val="center"/>
        <w:rPr>
          <w:rFonts w:ascii="方正小标宋简体" w:eastAsia="方正小标宋简体"/>
          <w:sz w:val="44"/>
          <w:szCs w:val="44"/>
        </w:rPr>
      </w:pPr>
      <w:r>
        <w:rPr>
          <w:rFonts w:hint="eastAsia" w:ascii="方正小标宋简体" w:eastAsia="方正小标宋简体"/>
          <w:sz w:val="44"/>
          <w:szCs w:val="44"/>
        </w:rPr>
        <w:t>西南医科大学心血管医学研究所</w:t>
      </w:r>
    </w:p>
    <w:p>
      <w:pPr>
        <w:spacing w:after="0" w:line="560" w:lineRule="exact"/>
        <w:jc w:val="center"/>
        <w:rPr>
          <w:rFonts w:ascii="方正小标宋简体" w:eastAsia="方正小标宋简体"/>
          <w:sz w:val="44"/>
          <w:szCs w:val="44"/>
        </w:rPr>
      </w:pPr>
      <w:r>
        <w:rPr>
          <w:rFonts w:hint="eastAsia" w:ascii="方正小标宋简体" w:eastAsia="方正小标宋简体"/>
          <w:sz w:val="44"/>
          <w:szCs w:val="44"/>
        </w:rPr>
        <w:t>博士后科研工作站招聘简章</w:t>
      </w:r>
    </w:p>
    <w:p>
      <w:pPr>
        <w:spacing w:after="0" w:line="560" w:lineRule="exact"/>
        <w:ind w:firstLine="720" w:firstLineChars="200"/>
        <w:jc w:val="both"/>
        <w:rPr>
          <w:rFonts w:ascii="方正小标宋简体" w:eastAsia="方正小标宋简体"/>
          <w:sz w:val="36"/>
          <w:szCs w:val="36"/>
        </w:rPr>
      </w:pPr>
    </w:p>
    <w:p>
      <w:pPr>
        <w:spacing w:after="0" w:line="560" w:lineRule="exact"/>
        <w:ind w:firstLine="640" w:firstLineChars="200"/>
        <w:jc w:val="both"/>
        <w:rPr>
          <w:rFonts w:ascii="仿宋_GB2312" w:hAnsi="仿宋" w:eastAsia="仿宋_GB2312"/>
          <w:sz w:val="32"/>
          <w:szCs w:val="32"/>
        </w:rPr>
      </w:pPr>
      <w:r>
        <w:rPr>
          <w:rFonts w:hint="eastAsia" w:ascii="仿宋_GB2312" w:hAnsi="仿宋" w:eastAsia="仿宋_GB2312"/>
          <w:sz w:val="32"/>
          <w:szCs w:val="32"/>
        </w:rPr>
        <w:t>西南医科大学心血管医学研究所是1997年经省级主管部门批准成立的专业研究机构，该所依托的生理学、内科学（心血管病学）相继被列为四川省重点学科，所属的医学电生理实验室是省部共建教育部重点实验室，四川省科技条件平台（膜通道功能、结构与信号转导同步研究基地），国家中医药管理局三级实验室，是目前四川以及西部地区最大的电生理研究中心；作为研究所组成部分的临床研究基地——心血管内科拥有川南最大的心脏介入治疗中心，也是国家临床药物试验基地；血管外科是西南地区较早建立的血管外科专科；心脏外科开展了我省第一例同种异体原位心脏移植手术；中医心脑血管内科为四川省重大疾病中医药防治协作中心、国家“十一五”重点专科协作组及重点病种临床方案验证组成员。</w:t>
      </w:r>
    </w:p>
    <w:p>
      <w:pPr>
        <w:spacing w:after="0" w:line="560" w:lineRule="exact"/>
        <w:ind w:firstLine="640" w:firstLineChars="200"/>
        <w:jc w:val="both"/>
        <w:rPr>
          <w:rFonts w:ascii="仿宋_GB2312" w:hAnsi="仿宋" w:eastAsia="仿宋_GB2312"/>
          <w:sz w:val="32"/>
          <w:szCs w:val="32"/>
        </w:rPr>
      </w:pPr>
      <w:r>
        <w:rPr>
          <w:rFonts w:hint="eastAsia" w:ascii="仿宋_GB2312" w:hAnsi="仿宋" w:eastAsia="仿宋_GB2312"/>
          <w:sz w:val="32"/>
          <w:szCs w:val="32"/>
        </w:rPr>
        <w:t>心血管医学研究所拥有实验室面积3000余平方米，有膜片钳离子通道研究平台，细胞电生理研究平台，膜通道功能、结构与信号转导同步研究实验平台，心血管力学研究平台，动物疾病模型实验平台，离子通道分子生物学研究平台，心血管药物作用及电生理机制研究平台，心血管疾病临床电生理研究平台，血管生物学研究平台，神经电生理和神经生物学研究平台等10个实验技术平台。实验室拥有国际上最先进的电生理仪器，仪器设备总值达3000余万元。</w:t>
      </w:r>
    </w:p>
    <w:p>
      <w:pPr>
        <w:spacing w:after="0" w:line="560" w:lineRule="exact"/>
        <w:ind w:firstLine="640" w:firstLineChars="200"/>
        <w:jc w:val="both"/>
        <w:rPr>
          <w:rFonts w:ascii="仿宋_GB2312" w:hAnsi="仿宋" w:eastAsia="仿宋_GB2312"/>
          <w:sz w:val="32"/>
          <w:szCs w:val="32"/>
        </w:rPr>
      </w:pPr>
      <w:r>
        <w:rPr>
          <w:rFonts w:hint="eastAsia" w:ascii="仿宋_GB2312" w:hAnsi="仿宋" w:eastAsia="仿宋_GB2312"/>
          <w:sz w:val="32"/>
          <w:szCs w:val="32"/>
        </w:rPr>
        <w:t>西南医科大学心血管医学研究所博士后科研工作站于2010年12月正式挂牌成立，现与浙江大学医学部合作，面向海内外公开招收博士后研究人员，欢迎有志之士加盟！</w:t>
      </w:r>
    </w:p>
    <w:p>
      <w:pPr>
        <w:spacing w:after="0" w:line="560" w:lineRule="exact"/>
        <w:ind w:firstLine="640" w:firstLineChars="200"/>
        <w:jc w:val="both"/>
        <w:rPr>
          <w:rFonts w:ascii="黑体" w:hAnsi="黑体" w:eastAsia="黑体"/>
          <w:sz w:val="32"/>
          <w:szCs w:val="32"/>
        </w:rPr>
      </w:pPr>
      <w:r>
        <w:rPr>
          <w:rFonts w:hint="eastAsia" w:ascii="黑体" w:hAnsi="黑体" w:eastAsia="黑体"/>
          <w:sz w:val="32"/>
          <w:szCs w:val="32"/>
        </w:rPr>
        <w:t>一、招收条件</w:t>
      </w:r>
    </w:p>
    <w:p>
      <w:pPr>
        <w:spacing w:after="0" w:line="560" w:lineRule="exact"/>
        <w:ind w:firstLine="640" w:firstLineChars="200"/>
        <w:jc w:val="both"/>
        <w:rPr>
          <w:rFonts w:ascii="仿宋_GB2312" w:hAnsi="仿宋" w:eastAsia="仿宋_GB2312"/>
          <w:sz w:val="32"/>
          <w:szCs w:val="32"/>
        </w:rPr>
      </w:pPr>
      <w:r>
        <w:rPr>
          <w:rFonts w:hint="eastAsia" w:ascii="仿宋_GB2312" w:hAnsi="仿宋" w:eastAsia="仿宋_GB2312"/>
          <w:sz w:val="32"/>
          <w:szCs w:val="32"/>
        </w:rPr>
        <w:t>1.具备良好的政治素质，遵纪守法、品行端正、坚持实事求是的科学精神和严谨求实的治学态度；</w:t>
      </w:r>
    </w:p>
    <w:p>
      <w:pPr>
        <w:spacing w:after="0" w:line="560" w:lineRule="exact"/>
        <w:ind w:firstLine="640" w:firstLineChars="200"/>
        <w:jc w:val="both"/>
        <w:rPr>
          <w:rFonts w:ascii="仿宋_GB2312" w:hAnsi="仿宋" w:eastAsia="仿宋_GB2312"/>
          <w:sz w:val="32"/>
          <w:szCs w:val="32"/>
        </w:rPr>
      </w:pPr>
      <w:r>
        <w:rPr>
          <w:rFonts w:hint="eastAsia" w:ascii="仿宋_GB2312" w:hAnsi="仿宋" w:eastAsia="仿宋_GB2312"/>
          <w:sz w:val="32"/>
          <w:szCs w:val="32"/>
        </w:rPr>
        <w:t>2.符合国家规定的博士后进站条件，具有较强科研能力和良好的团队协作精神；</w:t>
      </w:r>
    </w:p>
    <w:p>
      <w:pPr>
        <w:spacing w:after="0" w:line="560" w:lineRule="exact"/>
        <w:ind w:firstLine="640" w:firstLineChars="200"/>
        <w:jc w:val="both"/>
        <w:rPr>
          <w:rFonts w:ascii="仿宋_GB2312" w:hAnsi="仿宋" w:eastAsia="仿宋_GB2312"/>
          <w:sz w:val="32"/>
          <w:szCs w:val="32"/>
        </w:rPr>
      </w:pPr>
      <w:r>
        <w:rPr>
          <w:rFonts w:hint="eastAsia" w:ascii="仿宋_GB2312" w:hAnsi="仿宋" w:eastAsia="仿宋_GB2312"/>
          <w:sz w:val="32"/>
          <w:szCs w:val="32"/>
        </w:rPr>
        <w:t>3.在国内外已经获得或即将获得博士学位者；</w:t>
      </w:r>
    </w:p>
    <w:p>
      <w:pPr>
        <w:spacing w:after="0" w:line="560" w:lineRule="exact"/>
        <w:ind w:firstLine="640" w:firstLineChars="200"/>
        <w:jc w:val="both"/>
        <w:rPr>
          <w:rFonts w:ascii="仿宋_GB2312" w:hAnsi="仿宋" w:eastAsia="仿宋_GB2312"/>
          <w:sz w:val="32"/>
          <w:szCs w:val="32"/>
        </w:rPr>
      </w:pPr>
      <w:r>
        <w:rPr>
          <w:rFonts w:hint="eastAsia" w:ascii="仿宋_GB2312" w:hAnsi="仿宋" w:eastAsia="仿宋_GB2312"/>
          <w:sz w:val="32"/>
          <w:szCs w:val="32"/>
        </w:rPr>
        <w:t xml:space="preserve">4.年龄原则上在35岁以下（含35岁，即未到36岁生日），身体健康； </w:t>
      </w:r>
    </w:p>
    <w:p>
      <w:pPr>
        <w:spacing w:after="0" w:line="560" w:lineRule="exact"/>
        <w:ind w:firstLine="640" w:firstLineChars="200"/>
        <w:jc w:val="both"/>
        <w:rPr>
          <w:rFonts w:ascii="仿宋_GB2312" w:hAnsi="仿宋" w:eastAsia="仿宋_GB2312"/>
          <w:sz w:val="32"/>
          <w:szCs w:val="32"/>
        </w:rPr>
      </w:pPr>
      <w:r>
        <w:rPr>
          <w:rFonts w:hint="eastAsia" w:ascii="仿宋_GB2312" w:hAnsi="仿宋" w:eastAsia="仿宋_GB2312"/>
          <w:sz w:val="32"/>
          <w:szCs w:val="32"/>
        </w:rPr>
        <w:t>5.定向委培博士毕业生、在职人员和现役军人申请在职做博士后，须经所在单位同意脱产到本站专门从事博士后研究。</w:t>
      </w:r>
    </w:p>
    <w:p>
      <w:pPr>
        <w:spacing w:after="0" w:line="560" w:lineRule="exact"/>
        <w:ind w:firstLine="640" w:firstLineChars="200"/>
        <w:jc w:val="both"/>
        <w:rPr>
          <w:rFonts w:ascii="黑体" w:hAnsi="黑体" w:eastAsia="黑体"/>
          <w:sz w:val="32"/>
          <w:szCs w:val="32"/>
        </w:rPr>
      </w:pPr>
      <w:r>
        <w:rPr>
          <w:rFonts w:hint="eastAsia" w:ascii="黑体" w:hAnsi="黑体" w:eastAsia="黑体"/>
          <w:sz w:val="32"/>
          <w:szCs w:val="32"/>
        </w:rPr>
        <w:t xml:space="preserve">二、招收人数及研究方向  </w:t>
      </w:r>
    </w:p>
    <w:tbl>
      <w:tblPr>
        <w:tblStyle w:val="5"/>
        <w:tblW w:w="9209" w:type="dxa"/>
        <w:jc w:val="center"/>
        <w:tblInd w:w="0" w:type="dxa"/>
        <w:tblLayout w:type="fixed"/>
        <w:tblCellMar>
          <w:top w:w="0" w:type="dxa"/>
          <w:left w:w="108" w:type="dxa"/>
          <w:bottom w:w="0" w:type="dxa"/>
          <w:right w:w="108" w:type="dxa"/>
        </w:tblCellMar>
      </w:tblPr>
      <w:tblGrid>
        <w:gridCol w:w="846"/>
        <w:gridCol w:w="5970"/>
        <w:gridCol w:w="1134"/>
        <w:gridCol w:w="1259"/>
      </w:tblGrid>
      <w:tr>
        <w:tblPrEx>
          <w:tblLayout w:type="fixed"/>
          <w:tblCellMar>
            <w:top w:w="0" w:type="dxa"/>
            <w:left w:w="108" w:type="dxa"/>
            <w:bottom w:w="0" w:type="dxa"/>
            <w:right w:w="108" w:type="dxa"/>
          </w:tblCellMar>
        </w:tblPrEx>
        <w:trPr>
          <w:trHeight w:val="567"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仿宋_GB2312" w:hAnsi="仿宋" w:eastAsia="仿宋_GB2312" w:cs="Times New Roman"/>
                <w:b/>
                <w:kern w:val="2"/>
                <w:sz w:val="28"/>
                <w:szCs w:val="28"/>
              </w:rPr>
            </w:pPr>
            <w:r>
              <w:rPr>
                <w:rFonts w:hint="eastAsia" w:ascii="仿宋_GB2312" w:hAnsi="仿宋" w:eastAsia="仿宋_GB2312" w:cs="Times New Roman"/>
                <w:b/>
                <w:kern w:val="2"/>
                <w:sz w:val="28"/>
                <w:szCs w:val="28"/>
              </w:rPr>
              <w:t>序号</w:t>
            </w:r>
          </w:p>
        </w:tc>
        <w:tc>
          <w:tcPr>
            <w:tcW w:w="5970" w:type="dxa"/>
            <w:tcBorders>
              <w:top w:val="single" w:color="auto" w:sz="4" w:space="0"/>
              <w:left w:val="nil"/>
              <w:bottom w:val="single" w:color="auto" w:sz="4" w:space="0"/>
              <w:right w:val="single" w:color="auto" w:sz="4" w:space="0"/>
            </w:tcBorders>
            <w:vAlign w:val="center"/>
          </w:tcPr>
          <w:p>
            <w:pPr>
              <w:spacing w:after="0"/>
              <w:jc w:val="center"/>
              <w:rPr>
                <w:rFonts w:ascii="仿宋_GB2312" w:hAnsi="仿宋" w:eastAsia="仿宋_GB2312" w:cs="Times New Roman"/>
                <w:b/>
                <w:kern w:val="2"/>
                <w:sz w:val="28"/>
                <w:szCs w:val="28"/>
              </w:rPr>
            </w:pPr>
            <w:r>
              <w:rPr>
                <w:rFonts w:hint="eastAsia" w:ascii="仿宋_GB2312" w:hAnsi="仿宋" w:eastAsia="仿宋_GB2312" w:cs="Times New Roman"/>
                <w:b/>
                <w:kern w:val="2"/>
                <w:sz w:val="28"/>
                <w:szCs w:val="28"/>
              </w:rPr>
              <w:t>拟招收博士后人员的研究方向</w:t>
            </w:r>
          </w:p>
        </w:tc>
        <w:tc>
          <w:tcPr>
            <w:tcW w:w="1134" w:type="dxa"/>
            <w:tcBorders>
              <w:top w:val="single" w:color="auto" w:sz="4" w:space="0"/>
              <w:left w:val="nil"/>
              <w:bottom w:val="single" w:color="auto" w:sz="4" w:space="0"/>
              <w:right w:val="single" w:color="auto" w:sz="4" w:space="0"/>
            </w:tcBorders>
            <w:vAlign w:val="center"/>
          </w:tcPr>
          <w:p>
            <w:pPr>
              <w:spacing w:after="0"/>
              <w:jc w:val="center"/>
              <w:rPr>
                <w:rFonts w:ascii="仿宋_GB2312" w:hAnsi="仿宋" w:eastAsia="仿宋_GB2312" w:cs="Times New Roman"/>
                <w:b/>
                <w:kern w:val="2"/>
                <w:sz w:val="28"/>
                <w:szCs w:val="28"/>
              </w:rPr>
            </w:pPr>
            <w:r>
              <w:rPr>
                <w:rFonts w:hint="eastAsia" w:ascii="仿宋_GB2312" w:hAnsi="仿宋" w:eastAsia="仿宋_GB2312" w:cs="Times New Roman"/>
                <w:b/>
                <w:kern w:val="2"/>
                <w:sz w:val="28"/>
                <w:szCs w:val="28"/>
              </w:rPr>
              <w:t>指导</w:t>
            </w:r>
          </w:p>
          <w:p>
            <w:pPr>
              <w:spacing w:after="0"/>
              <w:jc w:val="center"/>
              <w:rPr>
                <w:rFonts w:ascii="仿宋_GB2312" w:hAnsi="仿宋" w:eastAsia="仿宋_GB2312" w:cs="Times New Roman"/>
                <w:b/>
                <w:kern w:val="2"/>
                <w:sz w:val="28"/>
                <w:szCs w:val="28"/>
              </w:rPr>
            </w:pPr>
            <w:r>
              <w:rPr>
                <w:rFonts w:hint="eastAsia" w:ascii="仿宋_GB2312" w:hAnsi="仿宋" w:eastAsia="仿宋_GB2312" w:cs="Times New Roman"/>
                <w:b/>
                <w:kern w:val="2"/>
                <w:sz w:val="28"/>
                <w:szCs w:val="28"/>
              </w:rPr>
              <w:t>导师</w:t>
            </w:r>
          </w:p>
        </w:tc>
        <w:tc>
          <w:tcPr>
            <w:tcW w:w="1259" w:type="dxa"/>
            <w:tcBorders>
              <w:top w:val="single" w:color="auto" w:sz="4" w:space="0"/>
              <w:left w:val="nil"/>
              <w:bottom w:val="single" w:color="auto" w:sz="4" w:space="0"/>
              <w:right w:val="single" w:color="auto" w:sz="4" w:space="0"/>
            </w:tcBorders>
            <w:vAlign w:val="center"/>
          </w:tcPr>
          <w:p>
            <w:pPr>
              <w:spacing w:after="0"/>
              <w:jc w:val="center"/>
              <w:rPr>
                <w:rFonts w:ascii="仿宋_GB2312" w:hAnsi="仿宋" w:eastAsia="仿宋_GB2312" w:cs="Times New Roman"/>
                <w:b/>
                <w:kern w:val="2"/>
                <w:sz w:val="28"/>
                <w:szCs w:val="28"/>
              </w:rPr>
            </w:pPr>
            <w:r>
              <w:rPr>
                <w:rFonts w:hint="eastAsia" w:ascii="仿宋_GB2312" w:hAnsi="仿宋" w:eastAsia="仿宋_GB2312" w:cs="Times New Roman"/>
                <w:b/>
                <w:kern w:val="2"/>
                <w:sz w:val="28"/>
                <w:szCs w:val="28"/>
              </w:rPr>
              <w:t>招收</w:t>
            </w:r>
          </w:p>
          <w:p>
            <w:pPr>
              <w:spacing w:after="0"/>
              <w:jc w:val="center"/>
              <w:rPr>
                <w:rFonts w:ascii="仿宋_GB2312" w:hAnsi="仿宋" w:eastAsia="仿宋_GB2312" w:cs="Times New Roman"/>
                <w:b/>
                <w:kern w:val="2"/>
                <w:sz w:val="28"/>
                <w:szCs w:val="28"/>
              </w:rPr>
            </w:pPr>
            <w:r>
              <w:rPr>
                <w:rFonts w:hint="eastAsia" w:ascii="仿宋_GB2312" w:hAnsi="仿宋" w:eastAsia="仿宋_GB2312" w:cs="Times New Roman"/>
                <w:b/>
                <w:kern w:val="2"/>
                <w:sz w:val="28"/>
                <w:szCs w:val="28"/>
              </w:rPr>
              <w:t>人数（</w:t>
            </w:r>
            <w:r>
              <w:rPr>
                <w:rFonts w:ascii="仿宋_GB2312" w:hAnsi="仿宋" w:eastAsia="仿宋_GB2312" w:cs="Times New Roman"/>
                <w:b/>
                <w:kern w:val="2"/>
                <w:sz w:val="28"/>
                <w:szCs w:val="28"/>
              </w:rPr>
              <w:t>人</w:t>
            </w:r>
            <w:r>
              <w:rPr>
                <w:rFonts w:hint="eastAsia" w:ascii="仿宋_GB2312" w:hAnsi="仿宋" w:eastAsia="仿宋_GB2312" w:cs="Times New Roman"/>
                <w:b/>
                <w:kern w:val="2"/>
                <w:sz w:val="28"/>
                <w:szCs w:val="28"/>
              </w:rPr>
              <w:t>）</w:t>
            </w:r>
          </w:p>
        </w:tc>
      </w:tr>
      <w:tr>
        <w:tblPrEx>
          <w:tblLayout w:type="fixed"/>
          <w:tblCellMar>
            <w:top w:w="0" w:type="dxa"/>
            <w:left w:w="108" w:type="dxa"/>
            <w:bottom w:w="0" w:type="dxa"/>
            <w:right w:w="108" w:type="dxa"/>
          </w:tblCellMar>
        </w:tblPrEx>
        <w:trPr>
          <w:trHeight w:val="567" w:hRule="atLeast"/>
          <w:jc w:val="center"/>
        </w:trPr>
        <w:tc>
          <w:tcPr>
            <w:tcW w:w="846" w:type="dxa"/>
            <w:tcBorders>
              <w:top w:val="nil"/>
              <w:left w:val="single" w:color="auto" w:sz="4" w:space="0"/>
              <w:bottom w:val="single" w:color="auto" w:sz="4" w:space="0"/>
              <w:right w:val="single" w:color="auto" w:sz="4" w:space="0"/>
            </w:tcBorders>
            <w:vAlign w:val="center"/>
          </w:tcPr>
          <w:p>
            <w:pPr>
              <w:spacing w:after="0"/>
              <w:jc w:val="center"/>
              <w:rPr>
                <w:rFonts w:hint="eastAsia"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lang w:val="en-US" w:eastAsia="zh-CN"/>
              </w:rPr>
              <w:t>1</w:t>
            </w:r>
          </w:p>
        </w:tc>
        <w:tc>
          <w:tcPr>
            <w:tcW w:w="5970" w:type="dxa"/>
            <w:tcBorders>
              <w:top w:val="nil"/>
              <w:left w:val="nil"/>
              <w:bottom w:val="single" w:color="auto" w:sz="4" w:space="0"/>
              <w:right w:val="single" w:color="auto" w:sz="4" w:space="0"/>
            </w:tcBorders>
            <w:vAlign w:val="center"/>
          </w:tcPr>
          <w:p>
            <w:pPr>
              <w:spacing w:after="0"/>
              <w:jc w:val="both"/>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1.心律失常的细胞与分子机制；</w:t>
            </w:r>
          </w:p>
          <w:p>
            <w:pPr>
              <w:spacing w:after="0"/>
              <w:jc w:val="both"/>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2.血管舒缩活动的调控；</w:t>
            </w:r>
          </w:p>
          <w:p>
            <w:pPr>
              <w:spacing w:after="0"/>
              <w:jc w:val="both"/>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3.心血管活动的离子通道机制</w:t>
            </w:r>
          </w:p>
        </w:tc>
        <w:tc>
          <w:tcPr>
            <w:tcW w:w="1134"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曾晓荣</w:t>
            </w:r>
          </w:p>
        </w:tc>
        <w:tc>
          <w:tcPr>
            <w:tcW w:w="1259"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1</w:t>
            </w:r>
          </w:p>
        </w:tc>
      </w:tr>
      <w:tr>
        <w:tblPrEx>
          <w:tblLayout w:type="fixed"/>
          <w:tblCellMar>
            <w:top w:w="0" w:type="dxa"/>
            <w:left w:w="108" w:type="dxa"/>
            <w:bottom w:w="0" w:type="dxa"/>
            <w:right w:w="108" w:type="dxa"/>
          </w:tblCellMar>
        </w:tblPrEx>
        <w:trPr>
          <w:trHeight w:val="567" w:hRule="atLeast"/>
          <w:jc w:val="center"/>
        </w:trPr>
        <w:tc>
          <w:tcPr>
            <w:tcW w:w="846" w:type="dxa"/>
            <w:tcBorders>
              <w:top w:val="nil"/>
              <w:left w:val="single" w:color="auto" w:sz="4" w:space="0"/>
              <w:bottom w:val="single" w:color="auto" w:sz="4" w:space="0"/>
              <w:right w:val="single" w:color="auto" w:sz="4" w:space="0"/>
            </w:tcBorders>
            <w:vAlign w:val="center"/>
          </w:tcPr>
          <w:p>
            <w:pPr>
              <w:spacing w:after="0"/>
              <w:jc w:val="center"/>
              <w:rPr>
                <w:rFonts w:hint="eastAsia"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lang w:val="en-US" w:eastAsia="zh-CN"/>
              </w:rPr>
              <w:t>2</w:t>
            </w:r>
          </w:p>
        </w:tc>
        <w:tc>
          <w:tcPr>
            <w:tcW w:w="5970" w:type="dxa"/>
            <w:tcBorders>
              <w:top w:val="nil"/>
              <w:left w:val="nil"/>
              <w:bottom w:val="single" w:color="auto" w:sz="4" w:space="0"/>
              <w:right w:val="single" w:color="auto" w:sz="4" w:space="0"/>
            </w:tcBorders>
            <w:vAlign w:val="center"/>
          </w:tcPr>
          <w:p>
            <w:pPr>
              <w:spacing w:after="0"/>
              <w:jc w:val="both"/>
              <w:rPr>
                <w:rFonts w:hint="eastAsia" w:ascii="仿宋_GB2312" w:hAnsi="仿宋" w:eastAsia="仿宋_GB2312" w:cs="Times New Roman"/>
                <w:kern w:val="2"/>
                <w:sz w:val="28"/>
                <w:szCs w:val="28"/>
              </w:rPr>
            </w:pPr>
            <w:r>
              <w:rPr>
                <w:rFonts w:hint="eastAsia" w:ascii="仿宋_GB2312" w:hAnsi="仿宋" w:eastAsia="仿宋_GB2312" w:cs="Times New Roman"/>
                <w:kern w:val="2"/>
                <w:sz w:val="28"/>
                <w:szCs w:val="28"/>
              </w:rPr>
              <w:t>分子药理、中药药理及新药评价研究</w:t>
            </w:r>
          </w:p>
        </w:tc>
        <w:tc>
          <w:tcPr>
            <w:tcW w:w="1134" w:type="dxa"/>
            <w:tcBorders>
              <w:top w:val="nil"/>
              <w:left w:val="nil"/>
              <w:bottom w:val="single" w:color="auto" w:sz="4" w:space="0"/>
              <w:right w:val="single" w:color="auto" w:sz="4" w:space="0"/>
            </w:tcBorders>
            <w:vAlign w:val="center"/>
          </w:tcPr>
          <w:p>
            <w:pPr>
              <w:spacing w:after="0"/>
              <w:jc w:val="center"/>
              <w:rPr>
                <w:rFonts w:hint="eastAsia" w:ascii="仿宋_GB2312" w:hAnsi="仿宋" w:eastAsia="仿宋_GB2312" w:cs="Times New Roman"/>
                <w:kern w:val="2"/>
                <w:sz w:val="28"/>
                <w:szCs w:val="28"/>
              </w:rPr>
            </w:pPr>
            <w:r>
              <w:rPr>
                <w:rFonts w:hint="eastAsia" w:ascii="仿宋_GB2312" w:hAnsi="仿宋" w:eastAsia="仿宋_GB2312" w:cs="Times New Roman"/>
                <w:kern w:val="2"/>
                <w:sz w:val="28"/>
                <w:szCs w:val="28"/>
              </w:rPr>
              <w:t>梅其炳</w:t>
            </w:r>
          </w:p>
        </w:tc>
        <w:tc>
          <w:tcPr>
            <w:tcW w:w="1259" w:type="dxa"/>
            <w:tcBorders>
              <w:top w:val="nil"/>
              <w:left w:val="nil"/>
              <w:bottom w:val="single" w:color="auto" w:sz="4" w:space="0"/>
              <w:right w:val="single" w:color="auto" w:sz="4" w:space="0"/>
            </w:tcBorders>
            <w:vAlign w:val="center"/>
          </w:tcPr>
          <w:p>
            <w:pPr>
              <w:spacing w:after="0"/>
              <w:jc w:val="center"/>
              <w:rPr>
                <w:rFonts w:hint="eastAsia" w:ascii="仿宋_GB2312" w:hAnsi="仿宋" w:eastAsia="仿宋_GB2312" w:cs="Times New Roman"/>
                <w:kern w:val="2"/>
                <w:sz w:val="28"/>
                <w:szCs w:val="28"/>
              </w:rPr>
            </w:pPr>
            <w:r>
              <w:rPr>
                <w:rFonts w:hint="eastAsia" w:ascii="仿宋_GB2312" w:hAnsi="仿宋" w:eastAsia="仿宋_GB2312" w:cs="Times New Roman"/>
                <w:kern w:val="2"/>
                <w:sz w:val="28"/>
                <w:szCs w:val="28"/>
              </w:rPr>
              <w:t>1-2</w:t>
            </w:r>
          </w:p>
        </w:tc>
      </w:tr>
      <w:tr>
        <w:tblPrEx>
          <w:tblLayout w:type="fixed"/>
          <w:tblCellMar>
            <w:top w:w="0" w:type="dxa"/>
            <w:left w:w="108" w:type="dxa"/>
            <w:bottom w:w="0" w:type="dxa"/>
            <w:right w:w="108" w:type="dxa"/>
          </w:tblCellMar>
        </w:tblPrEx>
        <w:trPr>
          <w:trHeight w:val="567" w:hRule="atLeast"/>
          <w:jc w:val="center"/>
        </w:trPr>
        <w:tc>
          <w:tcPr>
            <w:tcW w:w="846" w:type="dxa"/>
            <w:tcBorders>
              <w:top w:val="nil"/>
              <w:left w:val="single" w:color="auto" w:sz="4" w:space="0"/>
              <w:bottom w:val="single" w:color="auto" w:sz="4" w:space="0"/>
              <w:right w:val="single" w:color="auto" w:sz="4" w:space="0"/>
            </w:tcBorders>
            <w:vAlign w:val="center"/>
          </w:tcPr>
          <w:p>
            <w:pPr>
              <w:spacing w:after="0"/>
              <w:jc w:val="center"/>
              <w:rPr>
                <w:rFonts w:hint="eastAsia"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lang w:val="en-US" w:eastAsia="zh-CN"/>
              </w:rPr>
              <w:t>3</w:t>
            </w:r>
          </w:p>
        </w:tc>
        <w:tc>
          <w:tcPr>
            <w:tcW w:w="5970" w:type="dxa"/>
            <w:tcBorders>
              <w:top w:val="nil"/>
              <w:left w:val="nil"/>
              <w:bottom w:val="single" w:color="auto" w:sz="4" w:space="0"/>
              <w:right w:val="single" w:color="auto" w:sz="4" w:space="0"/>
            </w:tcBorders>
            <w:vAlign w:val="center"/>
          </w:tcPr>
          <w:p>
            <w:pPr>
              <w:spacing w:after="0"/>
              <w:jc w:val="both"/>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病毒性心脏病心肌纤维化的机制</w:t>
            </w:r>
          </w:p>
        </w:tc>
        <w:tc>
          <w:tcPr>
            <w:tcW w:w="1134"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杨思进</w:t>
            </w:r>
          </w:p>
        </w:tc>
        <w:tc>
          <w:tcPr>
            <w:tcW w:w="1259" w:type="dxa"/>
            <w:tcBorders>
              <w:top w:val="nil"/>
              <w:left w:val="nil"/>
              <w:bottom w:val="single" w:color="auto" w:sz="4" w:space="0"/>
              <w:right w:val="single" w:color="auto" w:sz="4" w:space="0"/>
            </w:tcBorders>
            <w:vAlign w:val="center"/>
          </w:tcPr>
          <w:p>
            <w:pPr>
              <w:spacing w:after="0"/>
              <w:jc w:val="center"/>
              <w:rPr>
                <w:rFonts w:hint="eastAsia"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lang w:val="en-US" w:eastAsia="zh-CN"/>
              </w:rPr>
              <w:t>2</w:t>
            </w:r>
          </w:p>
        </w:tc>
      </w:tr>
      <w:tr>
        <w:tblPrEx>
          <w:tblLayout w:type="fixed"/>
          <w:tblCellMar>
            <w:top w:w="0" w:type="dxa"/>
            <w:left w:w="108" w:type="dxa"/>
            <w:bottom w:w="0" w:type="dxa"/>
            <w:right w:w="108" w:type="dxa"/>
          </w:tblCellMar>
        </w:tblPrEx>
        <w:trPr>
          <w:trHeight w:val="567" w:hRule="atLeast"/>
          <w:jc w:val="center"/>
        </w:trPr>
        <w:tc>
          <w:tcPr>
            <w:tcW w:w="846" w:type="dxa"/>
            <w:tcBorders>
              <w:top w:val="nil"/>
              <w:left w:val="single" w:color="auto" w:sz="4" w:space="0"/>
              <w:bottom w:val="single" w:color="auto" w:sz="4" w:space="0"/>
              <w:right w:val="single" w:color="auto" w:sz="4" w:space="0"/>
            </w:tcBorders>
            <w:vAlign w:val="center"/>
          </w:tcPr>
          <w:p>
            <w:pPr>
              <w:spacing w:after="0"/>
              <w:jc w:val="center"/>
              <w:rPr>
                <w:rFonts w:hint="eastAsia"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lang w:val="en-US" w:eastAsia="zh-CN"/>
              </w:rPr>
              <w:t>4</w:t>
            </w:r>
          </w:p>
        </w:tc>
        <w:tc>
          <w:tcPr>
            <w:tcW w:w="5970" w:type="dxa"/>
            <w:tcBorders>
              <w:top w:val="nil"/>
              <w:left w:val="nil"/>
              <w:bottom w:val="single" w:color="auto" w:sz="4" w:space="0"/>
              <w:right w:val="single" w:color="auto" w:sz="4" w:space="0"/>
            </w:tcBorders>
            <w:vAlign w:val="center"/>
          </w:tcPr>
          <w:p>
            <w:pPr>
              <w:spacing w:after="0"/>
              <w:jc w:val="both"/>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花生四烯酸的P450酶氧化代谢产物在心血管疾病治疗中的应用研究</w:t>
            </w:r>
          </w:p>
        </w:tc>
        <w:tc>
          <w:tcPr>
            <w:tcW w:w="1134"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王  钦</w:t>
            </w:r>
          </w:p>
        </w:tc>
        <w:tc>
          <w:tcPr>
            <w:tcW w:w="1259"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2</w:t>
            </w:r>
          </w:p>
        </w:tc>
      </w:tr>
      <w:tr>
        <w:tblPrEx>
          <w:tblLayout w:type="fixed"/>
          <w:tblCellMar>
            <w:top w:w="0" w:type="dxa"/>
            <w:left w:w="108" w:type="dxa"/>
            <w:bottom w:w="0" w:type="dxa"/>
            <w:right w:w="108" w:type="dxa"/>
          </w:tblCellMar>
        </w:tblPrEx>
        <w:trPr>
          <w:trHeight w:val="567" w:hRule="atLeast"/>
          <w:jc w:val="center"/>
        </w:trPr>
        <w:tc>
          <w:tcPr>
            <w:tcW w:w="846" w:type="dxa"/>
            <w:tcBorders>
              <w:top w:val="nil"/>
              <w:left w:val="single" w:color="auto" w:sz="4" w:space="0"/>
              <w:bottom w:val="single" w:color="auto" w:sz="4" w:space="0"/>
              <w:right w:val="single" w:color="auto" w:sz="4" w:space="0"/>
            </w:tcBorders>
            <w:vAlign w:val="center"/>
          </w:tcPr>
          <w:p>
            <w:pPr>
              <w:spacing w:after="0"/>
              <w:jc w:val="center"/>
              <w:rPr>
                <w:rFonts w:hint="eastAsia"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lang w:val="en-US" w:eastAsia="zh-CN"/>
              </w:rPr>
              <w:t>5</w:t>
            </w:r>
          </w:p>
        </w:tc>
        <w:tc>
          <w:tcPr>
            <w:tcW w:w="5970" w:type="dxa"/>
            <w:tcBorders>
              <w:top w:val="nil"/>
              <w:left w:val="nil"/>
              <w:bottom w:val="single" w:color="auto" w:sz="4" w:space="0"/>
              <w:right w:val="single" w:color="auto" w:sz="4" w:space="0"/>
            </w:tcBorders>
            <w:vAlign w:val="center"/>
          </w:tcPr>
          <w:p>
            <w:pPr>
              <w:spacing w:after="0"/>
              <w:jc w:val="both"/>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创新药物及其递送系统基础与应用</w:t>
            </w:r>
          </w:p>
        </w:tc>
        <w:tc>
          <w:tcPr>
            <w:tcW w:w="1134"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赵  领</w:t>
            </w:r>
          </w:p>
        </w:tc>
        <w:tc>
          <w:tcPr>
            <w:tcW w:w="1259"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1-2</w:t>
            </w:r>
          </w:p>
        </w:tc>
      </w:tr>
      <w:tr>
        <w:tblPrEx>
          <w:tblLayout w:type="fixed"/>
          <w:tblCellMar>
            <w:top w:w="0" w:type="dxa"/>
            <w:left w:w="108" w:type="dxa"/>
            <w:bottom w:w="0" w:type="dxa"/>
            <w:right w:w="108" w:type="dxa"/>
          </w:tblCellMar>
        </w:tblPrEx>
        <w:trPr>
          <w:trHeight w:val="567" w:hRule="atLeast"/>
          <w:jc w:val="center"/>
        </w:trPr>
        <w:tc>
          <w:tcPr>
            <w:tcW w:w="846" w:type="dxa"/>
            <w:tcBorders>
              <w:top w:val="nil"/>
              <w:left w:val="single" w:color="auto" w:sz="4" w:space="0"/>
              <w:bottom w:val="single" w:color="auto" w:sz="4" w:space="0"/>
              <w:right w:val="single" w:color="auto" w:sz="4" w:space="0"/>
            </w:tcBorders>
            <w:vAlign w:val="center"/>
          </w:tcPr>
          <w:p>
            <w:pPr>
              <w:spacing w:after="0"/>
              <w:jc w:val="center"/>
              <w:rPr>
                <w:rFonts w:hint="eastAsia"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lang w:val="en-US" w:eastAsia="zh-CN"/>
              </w:rPr>
              <w:t>6</w:t>
            </w:r>
          </w:p>
        </w:tc>
        <w:tc>
          <w:tcPr>
            <w:tcW w:w="5970" w:type="dxa"/>
            <w:tcBorders>
              <w:top w:val="nil"/>
              <w:left w:val="nil"/>
              <w:bottom w:val="single" w:color="auto" w:sz="4" w:space="0"/>
              <w:right w:val="single" w:color="auto" w:sz="4" w:space="0"/>
            </w:tcBorders>
            <w:vAlign w:val="center"/>
          </w:tcPr>
          <w:p>
            <w:pPr>
              <w:spacing w:after="0"/>
              <w:jc w:val="both"/>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脑血管疾病基础与临床</w:t>
            </w:r>
          </w:p>
        </w:tc>
        <w:tc>
          <w:tcPr>
            <w:tcW w:w="1134"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江  涌</w:t>
            </w:r>
          </w:p>
        </w:tc>
        <w:tc>
          <w:tcPr>
            <w:tcW w:w="1259"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1-2</w:t>
            </w:r>
          </w:p>
        </w:tc>
      </w:tr>
      <w:tr>
        <w:tblPrEx>
          <w:tblLayout w:type="fixed"/>
          <w:tblCellMar>
            <w:top w:w="0" w:type="dxa"/>
            <w:left w:w="108" w:type="dxa"/>
            <w:bottom w:w="0" w:type="dxa"/>
            <w:right w:w="108" w:type="dxa"/>
          </w:tblCellMar>
        </w:tblPrEx>
        <w:trPr>
          <w:trHeight w:val="567" w:hRule="atLeast"/>
          <w:jc w:val="center"/>
        </w:trPr>
        <w:tc>
          <w:tcPr>
            <w:tcW w:w="846" w:type="dxa"/>
            <w:tcBorders>
              <w:top w:val="nil"/>
              <w:left w:val="single" w:color="auto" w:sz="4" w:space="0"/>
              <w:bottom w:val="single" w:color="auto" w:sz="4" w:space="0"/>
              <w:right w:val="single" w:color="auto" w:sz="4" w:space="0"/>
            </w:tcBorders>
            <w:vAlign w:val="center"/>
          </w:tcPr>
          <w:p>
            <w:pPr>
              <w:spacing w:after="0"/>
              <w:jc w:val="center"/>
              <w:rPr>
                <w:rFonts w:hint="eastAsia"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lang w:val="en-US" w:eastAsia="zh-CN"/>
              </w:rPr>
              <w:t>7</w:t>
            </w:r>
          </w:p>
        </w:tc>
        <w:tc>
          <w:tcPr>
            <w:tcW w:w="5970" w:type="dxa"/>
            <w:tcBorders>
              <w:top w:val="nil"/>
              <w:left w:val="nil"/>
              <w:bottom w:val="single" w:color="auto" w:sz="4" w:space="0"/>
              <w:right w:val="single" w:color="auto" w:sz="4" w:space="0"/>
            </w:tcBorders>
            <w:vAlign w:val="center"/>
          </w:tcPr>
          <w:p>
            <w:pPr>
              <w:spacing w:after="0"/>
              <w:jc w:val="both"/>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心脏电生理，信号调控与药理</w:t>
            </w:r>
          </w:p>
        </w:tc>
        <w:tc>
          <w:tcPr>
            <w:tcW w:w="1134"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雷  鸣</w:t>
            </w:r>
          </w:p>
        </w:tc>
        <w:tc>
          <w:tcPr>
            <w:tcW w:w="1259"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1-2</w:t>
            </w:r>
          </w:p>
        </w:tc>
      </w:tr>
      <w:tr>
        <w:tblPrEx>
          <w:tblLayout w:type="fixed"/>
          <w:tblCellMar>
            <w:top w:w="0" w:type="dxa"/>
            <w:left w:w="108" w:type="dxa"/>
            <w:bottom w:w="0" w:type="dxa"/>
            <w:right w:w="108" w:type="dxa"/>
          </w:tblCellMar>
        </w:tblPrEx>
        <w:trPr>
          <w:trHeight w:val="567" w:hRule="atLeast"/>
          <w:jc w:val="center"/>
        </w:trPr>
        <w:tc>
          <w:tcPr>
            <w:tcW w:w="846" w:type="dxa"/>
            <w:tcBorders>
              <w:top w:val="nil"/>
              <w:left w:val="single" w:color="auto" w:sz="4" w:space="0"/>
              <w:bottom w:val="single" w:color="auto" w:sz="4" w:space="0"/>
              <w:right w:val="single" w:color="auto" w:sz="4" w:space="0"/>
            </w:tcBorders>
            <w:vAlign w:val="center"/>
          </w:tcPr>
          <w:p>
            <w:pPr>
              <w:spacing w:after="0"/>
              <w:jc w:val="center"/>
              <w:rPr>
                <w:rFonts w:hint="eastAsia"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lang w:val="en-US" w:eastAsia="zh-CN"/>
              </w:rPr>
              <w:t>8</w:t>
            </w:r>
          </w:p>
        </w:tc>
        <w:tc>
          <w:tcPr>
            <w:tcW w:w="5970" w:type="dxa"/>
            <w:tcBorders>
              <w:top w:val="nil"/>
              <w:left w:val="nil"/>
              <w:bottom w:val="single" w:color="auto" w:sz="4" w:space="0"/>
              <w:right w:val="single" w:color="auto" w:sz="4" w:space="0"/>
            </w:tcBorders>
            <w:vAlign w:val="center"/>
          </w:tcPr>
          <w:p>
            <w:pPr>
              <w:spacing w:after="0"/>
              <w:jc w:val="both"/>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肿瘤心脏病学</w:t>
            </w:r>
          </w:p>
        </w:tc>
        <w:tc>
          <w:tcPr>
            <w:tcW w:w="1134"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党喜同</w:t>
            </w:r>
          </w:p>
        </w:tc>
        <w:tc>
          <w:tcPr>
            <w:tcW w:w="1259"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1</w:t>
            </w:r>
          </w:p>
        </w:tc>
      </w:tr>
      <w:tr>
        <w:tblPrEx>
          <w:tblLayout w:type="fixed"/>
          <w:tblCellMar>
            <w:top w:w="0" w:type="dxa"/>
            <w:left w:w="108" w:type="dxa"/>
            <w:bottom w:w="0" w:type="dxa"/>
            <w:right w:w="108" w:type="dxa"/>
          </w:tblCellMar>
        </w:tblPrEx>
        <w:trPr>
          <w:trHeight w:val="567" w:hRule="atLeast"/>
          <w:jc w:val="center"/>
        </w:trPr>
        <w:tc>
          <w:tcPr>
            <w:tcW w:w="846" w:type="dxa"/>
            <w:tcBorders>
              <w:top w:val="nil"/>
              <w:left w:val="single" w:color="auto" w:sz="4" w:space="0"/>
              <w:bottom w:val="single" w:color="auto" w:sz="4" w:space="0"/>
              <w:right w:val="single" w:color="auto" w:sz="4" w:space="0"/>
            </w:tcBorders>
            <w:vAlign w:val="center"/>
          </w:tcPr>
          <w:p>
            <w:pPr>
              <w:spacing w:after="0"/>
              <w:jc w:val="center"/>
              <w:rPr>
                <w:rFonts w:hint="eastAsia"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lang w:val="en-US" w:eastAsia="zh-CN"/>
              </w:rPr>
              <w:t>9</w:t>
            </w:r>
          </w:p>
        </w:tc>
        <w:tc>
          <w:tcPr>
            <w:tcW w:w="5970" w:type="dxa"/>
            <w:tcBorders>
              <w:top w:val="nil"/>
              <w:left w:val="nil"/>
              <w:bottom w:val="single" w:color="auto" w:sz="4" w:space="0"/>
              <w:right w:val="single" w:color="auto" w:sz="4" w:space="0"/>
            </w:tcBorders>
            <w:vAlign w:val="center"/>
          </w:tcPr>
          <w:p>
            <w:pPr>
              <w:spacing w:after="0"/>
              <w:jc w:val="both"/>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1.血管平滑肌大电导钙激活钾通道（BKca）胞内功能域研究；</w:t>
            </w:r>
          </w:p>
          <w:p>
            <w:pPr>
              <w:spacing w:after="0"/>
              <w:jc w:val="both"/>
              <w:rPr>
                <w:rFonts w:ascii="仿宋_GB2312" w:hAnsi="仿宋" w:eastAsia="仿宋_GB2312" w:cs="Times New Roman"/>
                <w:kern w:val="2"/>
                <w:sz w:val="28"/>
                <w:szCs w:val="28"/>
              </w:rPr>
            </w:pPr>
            <w:r>
              <w:rPr>
                <w:rFonts w:ascii="仿宋_GB2312" w:hAnsi="仿宋" w:eastAsia="仿宋_GB2312" w:cs="Times New Roman"/>
                <w:kern w:val="2"/>
                <w:sz w:val="28"/>
                <w:szCs w:val="28"/>
              </w:rPr>
              <w:t>2.</w:t>
            </w:r>
            <w:r>
              <w:rPr>
                <w:rFonts w:hint="eastAsia" w:ascii="仿宋_GB2312" w:hAnsi="仿宋" w:eastAsia="仿宋_GB2312" w:cs="Times New Roman"/>
                <w:kern w:val="2"/>
                <w:sz w:val="28"/>
                <w:szCs w:val="28"/>
              </w:rPr>
              <w:t>功能域突变体及人工重建通道的研究；</w:t>
            </w:r>
          </w:p>
          <w:p>
            <w:pPr>
              <w:spacing w:after="0"/>
              <w:jc w:val="both"/>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3.药物作用、机制及筛选研究</w:t>
            </w:r>
          </w:p>
        </w:tc>
        <w:tc>
          <w:tcPr>
            <w:tcW w:w="1134"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杨  艳</w:t>
            </w:r>
          </w:p>
        </w:tc>
        <w:tc>
          <w:tcPr>
            <w:tcW w:w="1259"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1</w:t>
            </w:r>
          </w:p>
        </w:tc>
      </w:tr>
      <w:tr>
        <w:tblPrEx>
          <w:tblLayout w:type="fixed"/>
          <w:tblCellMar>
            <w:top w:w="0" w:type="dxa"/>
            <w:left w:w="108" w:type="dxa"/>
            <w:bottom w:w="0" w:type="dxa"/>
            <w:right w:w="108" w:type="dxa"/>
          </w:tblCellMar>
        </w:tblPrEx>
        <w:trPr>
          <w:trHeight w:val="567" w:hRule="atLeast"/>
          <w:jc w:val="center"/>
        </w:trPr>
        <w:tc>
          <w:tcPr>
            <w:tcW w:w="846" w:type="dxa"/>
            <w:tcBorders>
              <w:top w:val="nil"/>
              <w:left w:val="single" w:color="auto" w:sz="4" w:space="0"/>
              <w:bottom w:val="single" w:color="auto" w:sz="4" w:space="0"/>
              <w:right w:val="single" w:color="auto" w:sz="4" w:space="0"/>
            </w:tcBorders>
            <w:vAlign w:val="center"/>
          </w:tcPr>
          <w:p>
            <w:pPr>
              <w:spacing w:after="0"/>
              <w:jc w:val="center"/>
              <w:rPr>
                <w:rFonts w:hint="eastAsia"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rPr>
              <w:t>1</w:t>
            </w:r>
            <w:r>
              <w:rPr>
                <w:rFonts w:hint="eastAsia" w:ascii="仿宋_GB2312" w:hAnsi="仿宋" w:eastAsia="仿宋_GB2312" w:cs="Times New Roman"/>
                <w:kern w:val="2"/>
                <w:sz w:val="28"/>
                <w:szCs w:val="28"/>
                <w:lang w:val="en-US" w:eastAsia="zh-CN"/>
              </w:rPr>
              <w:t>0</w:t>
            </w:r>
          </w:p>
        </w:tc>
        <w:tc>
          <w:tcPr>
            <w:tcW w:w="5970" w:type="dxa"/>
            <w:tcBorders>
              <w:top w:val="nil"/>
              <w:left w:val="nil"/>
              <w:bottom w:val="single" w:color="auto" w:sz="4" w:space="0"/>
              <w:right w:val="single" w:color="auto" w:sz="4" w:space="0"/>
            </w:tcBorders>
            <w:vAlign w:val="center"/>
          </w:tcPr>
          <w:p>
            <w:pPr>
              <w:spacing w:after="0"/>
              <w:jc w:val="both"/>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转录因子TWIST及其信号通路蛋白在肿瘤血管生成中的作用机制</w:t>
            </w:r>
          </w:p>
        </w:tc>
        <w:tc>
          <w:tcPr>
            <w:tcW w:w="1134"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傅俊江</w:t>
            </w:r>
          </w:p>
        </w:tc>
        <w:tc>
          <w:tcPr>
            <w:tcW w:w="1259"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2</w:t>
            </w:r>
          </w:p>
        </w:tc>
      </w:tr>
      <w:tr>
        <w:tblPrEx>
          <w:tblLayout w:type="fixed"/>
          <w:tblCellMar>
            <w:top w:w="0" w:type="dxa"/>
            <w:left w:w="108" w:type="dxa"/>
            <w:bottom w:w="0" w:type="dxa"/>
            <w:right w:w="108" w:type="dxa"/>
          </w:tblCellMar>
        </w:tblPrEx>
        <w:trPr>
          <w:trHeight w:val="567" w:hRule="atLeast"/>
          <w:jc w:val="center"/>
        </w:trPr>
        <w:tc>
          <w:tcPr>
            <w:tcW w:w="846" w:type="dxa"/>
            <w:tcBorders>
              <w:top w:val="nil"/>
              <w:left w:val="single" w:color="auto" w:sz="4" w:space="0"/>
              <w:bottom w:val="single" w:color="auto" w:sz="4" w:space="0"/>
              <w:right w:val="single" w:color="auto" w:sz="4" w:space="0"/>
            </w:tcBorders>
            <w:vAlign w:val="center"/>
          </w:tcPr>
          <w:p>
            <w:pPr>
              <w:spacing w:after="0"/>
              <w:jc w:val="center"/>
              <w:rPr>
                <w:rFonts w:hint="eastAsia"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rPr>
              <w:t>1</w:t>
            </w:r>
            <w:r>
              <w:rPr>
                <w:rFonts w:hint="eastAsia" w:ascii="仿宋_GB2312" w:hAnsi="仿宋" w:eastAsia="仿宋_GB2312" w:cs="Times New Roman"/>
                <w:kern w:val="2"/>
                <w:sz w:val="28"/>
                <w:szCs w:val="28"/>
                <w:lang w:val="en-US" w:eastAsia="zh-CN"/>
              </w:rPr>
              <w:t>1</w:t>
            </w:r>
          </w:p>
        </w:tc>
        <w:tc>
          <w:tcPr>
            <w:tcW w:w="5970" w:type="dxa"/>
            <w:tcBorders>
              <w:top w:val="nil"/>
              <w:left w:val="nil"/>
              <w:bottom w:val="single" w:color="auto" w:sz="4" w:space="0"/>
              <w:right w:val="single" w:color="auto" w:sz="4" w:space="0"/>
            </w:tcBorders>
            <w:vAlign w:val="center"/>
          </w:tcPr>
          <w:p>
            <w:pPr>
              <w:spacing w:after="0"/>
              <w:jc w:val="both"/>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1.缺血后血管生成的调控；</w:t>
            </w:r>
          </w:p>
          <w:p>
            <w:pPr>
              <w:spacing w:after="0"/>
              <w:jc w:val="both"/>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2.血栓形成与血管壁的相互作用机理；</w:t>
            </w:r>
          </w:p>
          <w:p>
            <w:pPr>
              <w:spacing w:after="0"/>
              <w:jc w:val="both"/>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3.血管生成与肿瘤转移机理的研究</w:t>
            </w:r>
          </w:p>
        </w:tc>
        <w:tc>
          <w:tcPr>
            <w:tcW w:w="1134"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吴剑波</w:t>
            </w:r>
          </w:p>
        </w:tc>
        <w:tc>
          <w:tcPr>
            <w:tcW w:w="1259"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1-2</w:t>
            </w:r>
          </w:p>
        </w:tc>
      </w:tr>
      <w:tr>
        <w:tblPrEx>
          <w:tblLayout w:type="fixed"/>
          <w:tblCellMar>
            <w:top w:w="0" w:type="dxa"/>
            <w:left w:w="108" w:type="dxa"/>
            <w:bottom w:w="0" w:type="dxa"/>
            <w:right w:w="108" w:type="dxa"/>
          </w:tblCellMar>
        </w:tblPrEx>
        <w:trPr>
          <w:trHeight w:val="567" w:hRule="atLeast"/>
          <w:jc w:val="center"/>
        </w:trPr>
        <w:tc>
          <w:tcPr>
            <w:tcW w:w="846" w:type="dxa"/>
            <w:tcBorders>
              <w:top w:val="nil"/>
              <w:left w:val="single" w:color="auto" w:sz="4" w:space="0"/>
              <w:bottom w:val="single" w:color="auto" w:sz="4" w:space="0"/>
              <w:right w:val="single" w:color="auto" w:sz="4" w:space="0"/>
            </w:tcBorders>
            <w:vAlign w:val="center"/>
          </w:tcPr>
          <w:p>
            <w:pPr>
              <w:spacing w:after="0"/>
              <w:jc w:val="center"/>
              <w:rPr>
                <w:rFonts w:hint="eastAsia"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rPr>
              <w:t>1</w:t>
            </w:r>
            <w:r>
              <w:rPr>
                <w:rFonts w:hint="eastAsia" w:ascii="仿宋_GB2312" w:hAnsi="仿宋" w:eastAsia="仿宋_GB2312" w:cs="Times New Roman"/>
                <w:kern w:val="2"/>
                <w:sz w:val="28"/>
                <w:szCs w:val="28"/>
                <w:lang w:val="en-US" w:eastAsia="zh-CN"/>
              </w:rPr>
              <w:t>2</w:t>
            </w:r>
          </w:p>
        </w:tc>
        <w:tc>
          <w:tcPr>
            <w:tcW w:w="5970" w:type="dxa"/>
            <w:tcBorders>
              <w:top w:val="nil"/>
              <w:left w:val="nil"/>
              <w:bottom w:val="single" w:color="auto" w:sz="4" w:space="0"/>
              <w:right w:val="single" w:color="auto" w:sz="4" w:space="0"/>
            </w:tcBorders>
            <w:vAlign w:val="center"/>
          </w:tcPr>
          <w:p>
            <w:pPr>
              <w:spacing w:after="0"/>
              <w:jc w:val="both"/>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分子药理</w:t>
            </w:r>
          </w:p>
        </w:tc>
        <w:tc>
          <w:tcPr>
            <w:tcW w:w="1134"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曹之宪</w:t>
            </w:r>
          </w:p>
        </w:tc>
        <w:tc>
          <w:tcPr>
            <w:tcW w:w="1259"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1-2</w:t>
            </w:r>
          </w:p>
        </w:tc>
      </w:tr>
      <w:tr>
        <w:tblPrEx>
          <w:tblLayout w:type="fixed"/>
          <w:tblCellMar>
            <w:top w:w="0" w:type="dxa"/>
            <w:left w:w="108" w:type="dxa"/>
            <w:bottom w:w="0" w:type="dxa"/>
            <w:right w:w="108" w:type="dxa"/>
          </w:tblCellMar>
        </w:tblPrEx>
        <w:trPr>
          <w:trHeight w:val="567" w:hRule="atLeast"/>
          <w:jc w:val="center"/>
        </w:trPr>
        <w:tc>
          <w:tcPr>
            <w:tcW w:w="846" w:type="dxa"/>
            <w:tcBorders>
              <w:top w:val="nil"/>
              <w:left w:val="single" w:color="auto" w:sz="4" w:space="0"/>
              <w:bottom w:val="single" w:color="auto" w:sz="4" w:space="0"/>
              <w:right w:val="single" w:color="auto" w:sz="4" w:space="0"/>
            </w:tcBorders>
            <w:vAlign w:val="center"/>
          </w:tcPr>
          <w:p>
            <w:pPr>
              <w:spacing w:after="0"/>
              <w:jc w:val="center"/>
              <w:rPr>
                <w:rFonts w:hint="eastAsia"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rPr>
              <w:t>1</w:t>
            </w:r>
            <w:r>
              <w:rPr>
                <w:rFonts w:hint="eastAsia" w:ascii="仿宋_GB2312" w:hAnsi="仿宋" w:eastAsia="仿宋_GB2312" w:cs="Times New Roman"/>
                <w:kern w:val="2"/>
                <w:sz w:val="28"/>
                <w:szCs w:val="28"/>
                <w:lang w:val="en-US" w:eastAsia="zh-CN"/>
              </w:rPr>
              <w:t>3</w:t>
            </w:r>
          </w:p>
        </w:tc>
        <w:tc>
          <w:tcPr>
            <w:tcW w:w="5970" w:type="dxa"/>
            <w:tcBorders>
              <w:top w:val="nil"/>
              <w:left w:val="nil"/>
              <w:bottom w:val="single" w:color="auto" w:sz="4" w:space="0"/>
              <w:right w:val="single" w:color="auto" w:sz="4" w:space="0"/>
            </w:tcBorders>
            <w:vAlign w:val="center"/>
          </w:tcPr>
          <w:p>
            <w:pPr>
              <w:spacing w:after="0"/>
              <w:jc w:val="both"/>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新型药物制剂研究</w:t>
            </w:r>
          </w:p>
        </w:tc>
        <w:tc>
          <w:tcPr>
            <w:tcW w:w="1134"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钟志容</w:t>
            </w:r>
          </w:p>
        </w:tc>
        <w:tc>
          <w:tcPr>
            <w:tcW w:w="1259"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1-2</w:t>
            </w:r>
          </w:p>
        </w:tc>
      </w:tr>
      <w:tr>
        <w:tblPrEx>
          <w:tblLayout w:type="fixed"/>
          <w:tblCellMar>
            <w:top w:w="0" w:type="dxa"/>
            <w:left w:w="108" w:type="dxa"/>
            <w:bottom w:w="0" w:type="dxa"/>
            <w:right w:w="108" w:type="dxa"/>
          </w:tblCellMar>
        </w:tblPrEx>
        <w:trPr>
          <w:trHeight w:val="567" w:hRule="atLeast"/>
          <w:jc w:val="center"/>
        </w:trPr>
        <w:tc>
          <w:tcPr>
            <w:tcW w:w="846" w:type="dxa"/>
            <w:tcBorders>
              <w:top w:val="nil"/>
              <w:left w:val="single" w:color="auto" w:sz="4" w:space="0"/>
              <w:bottom w:val="single" w:color="auto" w:sz="4" w:space="0"/>
              <w:right w:val="single" w:color="auto" w:sz="4" w:space="0"/>
            </w:tcBorders>
            <w:vAlign w:val="center"/>
          </w:tcPr>
          <w:p>
            <w:pPr>
              <w:spacing w:after="0"/>
              <w:jc w:val="center"/>
              <w:rPr>
                <w:rFonts w:hint="eastAsia"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rPr>
              <w:t>1</w:t>
            </w:r>
            <w:r>
              <w:rPr>
                <w:rFonts w:hint="eastAsia" w:ascii="仿宋_GB2312" w:hAnsi="仿宋" w:eastAsia="仿宋_GB2312" w:cs="Times New Roman"/>
                <w:kern w:val="2"/>
                <w:sz w:val="28"/>
                <w:szCs w:val="28"/>
                <w:lang w:val="en-US" w:eastAsia="zh-CN"/>
              </w:rPr>
              <w:t>4</w:t>
            </w:r>
          </w:p>
        </w:tc>
        <w:tc>
          <w:tcPr>
            <w:tcW w:w="5970" w:type="dxa"/>
            <w:tcBorders>
              <w:top w:val="nil"/>
              <w:left w:val="nil"/>
              <w:bottom w:val="single" w:color="auto" w:sz="4" w:space="0"/>
              <w:right w:val="single" w:color="auto" w:sz="4" w:space="0"/>
            </w:tcBorders>
            <w:vAlign w:val="center"/>
          </w:tcPr>
          <w:p>
            <w:pPr>
              <w:spacing w:after="0"/>
              <w:jc w:val="both"/>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1.衰老与老年医学、离子通道省里功能；</w:t>
            </w:r>
          </w:p>
          <w:p>
            <w:pPr>
              <w:spacing w:after="0"/>
              <w:jc w:val="both"/>
              <w:rPr>
                <w:rFonts w:ascii="仿宋_GB2312" w:hAnsi="仿宋" w:eastAsia="仿宋_GB2312" w:cs="Times New Roman"/>
                <w:kern w:val="2"/>
                <w:sz w:val="28"/>
                <w:szCs w:val="28"/>
              </w:rPr>
            </w:pPr>
            <w:r>
              <w:rPr>
                <w:rFonts w:ascii="仿宋_GB2312" w:hAnsi="仿宋" w:eastAsia="仿宋_GB2312" w:cs="Times New Roman"/>
                <w:kern w:val="2"/>
                <w:sz w:val="28"/>
                <w:szCs w:val="28"/>
              </w:rPr>
              <w:t>2.</w:t>
            </w:r>
            <w:r>
              <w:rPr>
                <w:rFonts w:hint="eastAsia" w:ascii="仿宋_GB2312" w:hAnsi="仿宋" w:eastAsia="仿宋_GB2312" w:cs="Times New Roman"/>
                <w:kern w:val="2"/>
                <w:sz w:val="28"/>
                <w:szCs w:val="28"/>
              </w:rPr>
              <w:t>衰老相关疾病药物筛选研究</w:t>
            </w:r>
          </w:p>
        </w:tc>
        <w:tc>
          <w:tcPr>
            <w:tcW w:w="1134"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罗怀容</w:t>
            </w:r>
          </w:p>
        </w:tc>
        <w:tc>
          <w:tcPr>
            <w:tcW w:w="1259"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1-2</w:t>
            </w:r>
          </w:p>
        </w:tc>
      </w:tr>
      <w:tr>
        <w:tblPrEx>
          <w:tblLayout w:type="fixed"/>
          <w:tblCellMar>
            <w:top w:w="0" w:type="dxa"/>
            <w:left w:w="108" w:type="dxa"/>
            <w:bottom w:w="0" w:type="dxa"/>
            <w:right w:w="108" w:type="dxa"/>
          </w:tblCellMar>
        </w:tblPrEx>
        <w:trPr>
          <w:trHeight w:val="567" w:hRule="atLeast"/>
          <w:jc w:val="center"/>
        </w:trPr>
        <w:tc>
          <w:tcPr>
            <w:tcW w:w="846" w:type="dxa"/>
            <w:tcBorders>
              <w:top w:val="nil"/>
              <w:left w:val="single" w:color="auto" w:sz="4" w:space="0"/>
              <w:bottom w:val="single" w:color="auto" w:sz="4" w:space="0"/>
              <w:right w:val="single" w:color="auto" w:sz="4" w:space="0"/>
            </w:tcBorders>
            <w:vAlign w:val="center"/>
          </w:tcPr>
          <w:p>
            <w:pPr>
              <w:spacing w:after="0"/>
              <w:jc w:val="center"/>
              <w:rPr>
                <w:rFonts w:hint="eastAsia"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rPr>
              <w:t>1</w:t>
            </w:r>
            <w:r>
              <w:rPr>
                <w:rFonts w:hint="eastAsia" w:ascii="仿宋_GB2312" w:hAnsi="仿宋" w:eastAsia="仿宋_GB2312" w:cs="Times New Roman"/>
                <w:kern w:val="2"/>
                <w:sz w:val="28"/>
                <w:szCs w:val="28"/>
                <w:lang w:val="en-US" w:eastAsia="zh-CN"/>
              </w:rPr>
              <w:t>5</w:t>
            </w:r>
          </w:p>
        </w:tc>
        <w:tc>
          <w:tcPr>
            <w:tcW w:w="5970" w:type="dxa"/>
            <w:tcBorders>
              <w:top w:val="nil"/>
              <w:left w:val="nil"/>
              <w:bottom w:val="single" w:color="auto" w:sz="4" w:space="0"/>
              <w:right w:val="single" w:color="auto" w:sz="4" w:space="0"/>
            </w:tcBorders>
            <w:vAlign w:val="center"/>
          </w:tcPr>
          <w:p>
            <w:pPr>
              <w:spacing w:after="0"/>
              <w:jc w:val="both"/>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1.中药药理及分子药理；</w:t>
            </w:r>
          </w:p>
          <w:p>
            <w:pPr>
              <w:spacing w:after="0"/>
              <w:jc w:val="both"/>
              <w:rPr>
                <w:rFonts w:ascii="仿宋_GB2312" w:hAnsi="仿宋" w:eastAsia="仿宋_GB2312" w:cs="Times New Roman"/>
                <w:kern w:val="2"/>
                <w:sz w:val="28"/>
                <w:szCs w:val="28"/>
              </w:rPr>
            </w:pPr>
            <w:r>
              <w:rPr>
                <w:rFonts w:ascii="仿宋_GB2312" w:hAnsi="仿宋" w:eastAsia="仿宋_GB2312" w:cs="Times New Roman"/>
                <w:kern w:val="2"/>
                <w:sz w:val="28"/>
                <w:szCs w:val="28"/>
              </w:rPr>
              <w:t>2.</w:t>
            </w:r>
            <w:r>
              <w:rPr>
                <w:rFonts w:hint="eastAsia" w:ascii="仿宋_GB2312" w:hAnsi="仿宋" w:eastAsia="仿宋_GB2312" w:cs="Times New Roman"/>
                <w:kern w:val="2"/>
                <w:sz w:val="28"/>
                <w:szCs w:val="28"/>
              </w:rPr>
              <w:t>药物筛选及成药性评价</w:t>
            </w:r>
          </w:p>
        </w:tc>
        <w:tc>
          <w:tcPr>
            <w:tcW w:w="1134"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吴建明</w:t>
            </w:r>
          </w:p>
        </w:tc>
        <w:tc>
          <w:tcPr>
            <w:tcW w:w="1259"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2</w:t>
            </w:r>
          </w:p>
        </w:tc>
      </w:tr>
      <w:tr>
        <w:tblPrEx>
          <w:tblLayout w:type="fixed"/>
          <w:tblCellMar>
            <w:top w:w="0" w:type="dxa"/>
            <w:left w:w="108" w:type="dxa"/>
            <w:bottom w:w="0" w:type="dxa"/>
            <w:right w:w="108" w:type="dxa"/>
          </w:tblCellMar>
        </w:tblPrEx>
        <w:trPr>
          <w:trHeight w:val="567" w:hRule="atLeast"/>
          <w:jc w:val="center"/>
        </w:trPr>
        <w:tc>
          <w:tcPr>
            <w:tcW w:w="846" w:type="dxa"/>
            <w:tcBorders>
              <w:top w:val="nil"/>
              <w:left w:val="single" w:color="auto" w:sz="4" w:space="0"/>
              <w:bottom w:val="single" w:color="auto" w:sz="4" w:space="0"/>
              <w:right w:val="single" w:color="auto" w:sz="4" w:space="0"/>
            </w:tcBorders>
            <w:vAlign w:val="center"/>
          </w:tcPr>
          <w:p>
            <w:pPr>
              <w:spacing w:after="0"/>
              <w:jc w:val="center"/>
              <w:rPr>
                <w:rFonts w:hint="eastAsia"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rPr>
              <w:t>1</w:t>
            </w:r>
            <w:r>
              <w:rPr>
                <w:rFonts w:hint="eastAsia" w:ascii="仿宋_GB2312" w:hAnsi="仿宋" w:eastAsia="仿宋_GB2312" w:cs="Times New Roman"/>
                <w:kern w:val="2"/>
                <w:sz w:val="28"/>
                <w:szCs w:val="28"/>
                <w:lang w:val="en-US" w:eastAsia="zh-CN"/>
              </w:rPr>
              <w:t>6</w:t>
            </w:r>
          </w:p>
        </w:tc>
        <w:tc>
          <w:tcPr>
            <w:tcW w:w="5970" w:type="dxa"/>
            <w:tcBorders>
              <w:top w:val="nil"/>
              <w:left w:val="nil"/>
              <w:bottom w:val="single" w:color="auto" w:sz="4" w:space="0"/>
              <w:right w:val="single" w:color="auto" w:sz="4" w:space="0"/>
            </w:tcBorders>
            <w:vAlign w:val="center"/>
          </w:tcPr>
          <w:p>
            <w:pPr>
              <w:spacing w:after="0"/>
              <w:jc w:val="both"/>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分子药理</w:t>
            </w:r>
          </w:p>
        </w:tc>
        <w:tc>
          <w:tcPr>
            <w:tcW w:w="1134"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肖占刚</w:t>
            </w:r>
          </w:p>
        </w:tc>
        <w:tc>
          <w:tcPr>
            <w:tcW w:w="1259"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1-2</w:t>
            </w:r>
          </w:p>
        </w:tc>
      </w:tr>
      <w:tr>
        <w:tblPrEx>
          <w:tblLayout w:type="fixed"/>
          <w:tblCellMar>
            <w:top w:w="0" w:type="dxa"/>
            <w:left w:w="108" w:type="dxa"/>
            <w:bottom w:w="0" w:type="dxa"/>
            <w:right w:w="108" w:type="dxa"/>
          </w:tblCellMar>
        </w:tblPrEx>
        <w:trPr>
          <w:trHeight w:val="567" w:hRule="atLeast"/>
          <w:jc w:val="center"/>
        </w:trPr>
        <w:tc>
          <w:tcPr>
            <w:tcW w:w="846" w:type="dxa"/>
            <w:tcBorders>
              <w:top w:val="nil"/>
              <w:left w:val="single" w:color="auto" w:sz="4" w:space="0"/>
              <w:bottom w:val="single" w:color="auto" w:sz="4" w:space="0"/>
              <w:right w:val="single" w:color="auto" w:sz="4" w:space="0"/>
            </w:tcBorders>
            <w:vAlign w:val="center"/>
          </w:tcPr>
          <w:p>
            <w:pPr>
              <w:spacing w:after="0"/>
              <w:jc w:val="center"/>
              <w:rPr>
                <w:rFonts w:hint="eastAsia"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rPr>
              <w:t>1</w:t>
            </w:r>
            <w:r>
              <w:rPr>
                <w:rFonts w:hint="eastAsia" w:ascii="仿宋_GB2312" w:hAnsi="仿宋" w:eastAsia="仿宋_GB2312" w:cs="Times New Roman"/>
                <w:kern w:val="2"/>
                <w:sz w:val="28"/>
                <w:szCs w:val="28"/>
                <w:lang w:val="en-US" w:eastAsia="zh-CN"/>
              </w:rPr>
              <w:t>7</w:t>
            </w:r>
          </w:p>
        </w:tc>
        <w:tc>
          <w:tcPr>
            <w:tcW w:w="5970" w:type="dxa"/>
            <w:tcBorders>
              <w:top w:val="nil"/>
              <w:left w:val="nil"/>
              <w:bottom w:val="single" w:color="auto" w:sz="4" w:space="0"/>
              <w:right w:val="single" w:color="auto" w:sz="4" w:space="0"/>
            </w:tcBorders>
            <w:vAlign w:val="center"/>
          </w:tcPr>
          <w:p>
            <w:pPr>
              <w:spacing w:after="0"/>
              <w:jc w:val="both"/>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计算生理学</w:t>
            </w:r>
          </w:p>
        </w:tc>
        <w:tc>
          <w:tcPr>
            <w:tcW w:w="1134"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张恒贵</w:t>
            </w:r>
          </w:p>
        </w:tc>
        <w:tc>
          <w:tcPr>
            <w:tcW w:w="1259"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2</w:t>
            </w:r>
          </w:p>
        </w:tc>
      </w:tr>
      <w:tr>
        <w:tblPrEx>
          <w:tblLayout w:type="fixed"/>
          <w:tblCellMar>
            <w:top w:w="0" w:type="dxa"/>
            <w:left w:w="108" w:type="dxa"/>
            <w:bottom w:w="0" w:type="dxa"/>
            <w:right w:w="108" w:type="dxa"/>
          </w:tblCellMar>
        </w:tblPrEx>
        <w:trPr>
          <w:trHeight w:val="567" w:hRule="atLeast"/>
          <w:jc w:val="center"/>
        </w:trPr>
        <w:tc>
          <w:tcPr>
            <w:tcW w:w="846" w:type="dxa"/>
            <w:tcBorders>
              <w:top w:val="nil"/>
              <w:left w:val="single" w:color="auto" w:sz="4" w:space="0"/>
              <w:bottom w:val="single" w:color="auto" w:sz="4" w:space="0"/>
              <w:right w:val="single" w:color="auto" w:sz="4" w:space="0"/>
            </w:tcBorders>
            <w:vAlign w:val="center"/>
          </w:tcPr>
          <w:p>
            <w:pPr>
              <w:spacing w:after="0"/>
              <w:jc w:val="center"/>
              <w:rPr>
                <w:rFonts w:hint="eastAsia"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rPr>
              <w:t>1</w:t>
            </w:r>
            <w:r>
              <w:rPr>
                <w:rFonts w:hint="eastAsia" w:ascii="仿宋_GB2312" w:hAnsi="仿宋" w:eastAsia="仿宋_GB2312" w:cs="Times New Roman"/>
                <w:kern w:val="2"/>
                <w:sz w:val="28"/>
                <w:szCs w:val="28"/>
                <w:lang w:val="en-US" w:eastAsia="zh-CN"/>
              </w:rPr>
              <w:t>8</w:t>
            </w:r>
          </w:p>
        </w:tc>
        <w:tc>
          <w:tcPr>
            <w:tcW w:w="5970" w:type="dxa"/>
            <w:tcBorders>
              <w:top w:val="nil"/>
              <w:left w:val="nil"/>
              <w:bottom w:val="single" w:color="auto" w:sz="4" w:space="0"/>
              <w:right w:val="single" w:color="auto" w:sz="4" w:space="0"/>
            </w:tcBorders>
            <w:vAlign w:val="center"/>
          </w:tcPr>
          <w:p>
            <w:pPr>
              <w:spacing w:after="0"/>
              <w:jc w:val="both"/>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1.神经分泌在神经生理和神经病理中的作用；</w:t>
            </w:r>
          </w:p>
          <w:p>
            <w:pPr>
              <w:spacing w:after="0"/>
              <w:jc w:val="both"/>
              <w:rPr>
                <w:rFonts w:ascii="仿宋_GB2312" w:hAnsi="仿宋" w:eastAsia="仿宋_GB2312" w:cs="Times New Roman"/>
                <w:kern w:val="2"/>
                <w:sz w:val="28"/>
                <w:szCs w:val="28"/>
              </w:rPr>
            </w:pPr>
            <w:r>
              <w:rPr>
                <w:rFonts w:ascii="仿宋_GB2312" w:hAnsi="仿宋" w:eastAsia="仿宋_GB2312" w:cs="Times New Roman"/>
                <w:kern w:val="2"/>
                <w:sz w:val="28"/>
                <w:szCs w:val="28"/>
              </w:rPr>
              <w:t>2.</w:t>
            </w:r>
            <w:r>
              <w:rPr>
                <w:rFonts w:hint="eastAsia" w:ascii="仿宋_GB2312" w:hAnsi="仿宋" w:eastAsia="仿宋_GB2312" w:cs="Times New Roman"/>
                <w:kern w:val="2"/>
                <w:sz w:val="28"/>
                <w:szCs w:val="28"/>
              </w:rPr>
              <w:t>神经心脏调节</w:t>
            </w:r>
          </w:p>
        </w:tc>
        <w:tc>
          <w:tcPr>
            <w:tcW w:w="1134"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康新江</w:t>
            </w:r>
          </w:p>
        </w:tc>
        <w:tc>
          <w:tcPr>
            <w:tcW w:w="1259"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2</w:t>
            </w:r>
          </w:p>
        </w:tc>
      </w:tr>
      <w:tr>
        <w:tblPrEx>
          <w:tblLayout w:type="fixed"/>
          <w:tblCellMar>
            <w:top w:w="0" w:type="dxa"/>
            <w:left w:w="108" w:type="dxa"/>
            <w:bottom w:w="0" w:type="dxa"/>
            <w:right w:w="108" w:type="dxa"/>
          </w:tblCellMar>
        </w:tblPrEx>
        <w:trPr>
          <w:trHeight w:val="567" w:hRule="atLeast"/>
          <w:jc w:val="center"/>
        </w:trPr>
        <w:tc>
          <w:tcPr>
            <w:tcW w:w="846" w:type="dxa"/>
            <w:tcBorders>
              <w:top w:val="nil"/>
              <w:left w:val="single" w:color="auto" w:sz="4" w:space="0"/>
              <w:bottom w:val="single" w:color="auto" w:sz="4" w:space="0"/>
              <w:right w:val="single" w:color="auto" w:sz="4" w:space="0"/>
            </w:tcBorders>
            <w:vAlign w:val="center"/>
          </w:tcPr>
          <w:p>
            <w:pPr>
              <w:spacing w:after="0"/>
              <w:jc w:val="center"/>
              <w:rPr>
                <w:rFonts w:hint="eastAsia" w:ascii="仿宋_GB2312" w:hAnsi="仿宋" w:eastAsia="仿宋_GB2312" w:cs="Times New Roman"/>
                <w:kern w:val="2"/>
                <w:sz w:val="28"/>
                <w:szCs w:val="28"/>
                <w:lang w:val="en-US" w:eastAsia="zh-CN"/>
              </w:rPr>
            </w:pPr>
            <w:r>
              <w:rPr>
                <w:rFonts w:hint="eastAsia" w:ascii="仿宋_GB2312" w:hAnsi="仿宋" w:eastAsia="仿宋_GB2312" w:cs="Times New Roman"/>
                <w:kern w:val="2"/>
                <w:sz w:val="28"/>
                <w:szCs w:val="28"/>
                <w:lang w:val="en-US" w:eastAsia="zh-CN"/>
              </w:rPr>
              <w:t>19</w:t>
            </w:r>
          </w:p>
        </w:tc>
        <w:tc>
          <w:tcPr>
            <w:tcW w:w="5970" w:type="dxa"/>
            <w:tcBorders>
              <w:top w:val="nil"/>
              <w:left w:val="nil"/>
              <w:bottom w:val="single" w:color="auto" w:sz="4" w:space="0"/>
              <w:right w:val="single" w:color="auto" w:sz="4" w:space="0"/>
            </w:tcBorders>
            <w:vAlign w:val="center"/>
          </w:tcPr>
          <w:p>
            <w:pPr>
              <w:spacing w:after="0"/>
              <w:jc w:val="both"/>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心血管电生理</w:t>
            </w:r>
          </w:p>
        </w:tc>
        <w:tc>
          <w:tcPr>
            <w:tcW w:w="1134"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李  光</w:t>
            </w:r>
          </w:p>
        </w:tc>
        <w:tc>
          <w:tcPr>
            <w:tcW w:w="1259" w:type="dxa"/>
            <w:tcBorders>
              <w:top w:val="nil"/>
              <w:left w:val="nil"/>
              <w:bottom w:val="single" w:color="auto" w:sz="4" w:space="0"/>
              <w:right w:val="single" w:color="auto" w:sz="4" w:space="0"/>
            </w:tcBorders>
            <w:vAlign w:val="center"/>
          </w:tcPr>
          <w:p>
            <w:pPr>
              <w:spacing w:after="0"/>
              <w:jc w:val="center"/>
              <w:rPr>
                <w:rFonts w:ascii="仿宋_GB2312" w:hAnsi="仿宋" w:eastAsia="仿宋_GB2312" w:cs="Times New Roman"/>
                <w:kern w:val="2"/>
                <w:sz w:val="28"/>
                <w:szCs w:val="28"/>
              </w:rPr>
            </w:pPr>
            <w:r>
              <w:rPr>
                <w:rFonts w:hint="eastAsia" w:ascii="仿宋_GB2312" w:hAnsi="仿宋" w:eastAsia="仿宋_GB2312" w:cs="Times New Roman"/>
                <w:kern w:val="2"/>
                <w:sz w:val="28"/>
                <w:szCs w:val="28"/>
              </w:rPr>
              <w:t>1-2</w:t>
            </w:r>
          </w:p>
        </w:tc>
      </w:tr>
    </w:tbl>
    <w:p>
      <w:pPr>
        <w:spacing w:after="0" w:line="560" w:lineRule="exact"/>
        <w:ind w:firstLine="320" w:firstLineChars="100"/>
        <w:jc w:val="both"/>
        <w:rPr>
          <w:rFonts w:ascii="黑体" w:hAnsi="黑体" w:eastAsia="黑体"/>
          <w:sz w:val="32"/>
          <w:szCs w:val="32"/>
        </w:rPr>
      </w:pPr>
      <w:r>
        <w:rPr>
          <w:rFonts w:hint="eastAsia" w:ascii="黑体" w:hAnsi="黑体" w:eastAsia="黑体"/>
          <w:sz w:val="32"/>
          <w:szCs w:val="32"/>
        </w:rPr>
        <w:t>三、申请者应提交材料</w:t>
      </w:r>
    </w:p>
    <w:p>
      <w:pPr>
        <w:spacing w:after="0" w:line="560" w:lineRule="exact"/>
        <w:ind w:firstLine="640" w:firstLineChars="200"/>
        <w:jc w:val="both"/>
        <w:rPr>
          <w:rFonts w:ascii="仿宋_GB2312" w:hAnsi="仿宋" w:eastAsia="仿宋_GB2312"/>
          <w:sz w:val="32"/>
          <w:szCs w:val="32"/>
        </w:rPr>
      </w:pPr>
      <w:r>
        <w:rPr>
          <w:rFonts w:hint="eastAsia" w:ascii="仿宋_GB2312" w:hAnsi="仿宋" w:eastAsia="仿宋_GB2312"/>
          <w:sz w:val="32"/>
          <w:szCs w:val="32"/>
        </w:rPr>
        <w:t>凡报名申请进站从事研究的人员，需提交下列申请材料：</w:t>
      </w:r>
    </w:p>
    <w:p>
      <w:pPr>
        <w:spacing w:after="0" w:line="560" w:lineRule="exact"/>
        <w:ind w:firstLine="640" w:firstLineChars="200"/>
        <w:jc w:val="both"/>
        <w:rPr>
          <w:rFonts w:ascii="仿宋_GB2312" w:hAnsi="仿宋" w:eastAsia="仿宋_GB2312"/>
          <w:sz w:val="32"/>
          <w:szCs w:val="32"/>
        </w:rPr>
      </w:pPr>
      <w:r>
        <w:rPr>
          <w:rFonts w:hint="eastAsia" w:ascii="仿宋_GB2312" w:hAnsi="仿宋" w:eastAsia="仿宋_GB2312"/>
          <w:sz w:val="32"/>
          <w:szCs w:val="32"/>
        </w:rPr>
        <w:t>1.《博士后申请表》（中国博士后网站下载）。</w:t>
      </w:r>
    </w:p>
    <w:p>
      <w:pPr>
        <w:spacing w:after="0" w:line="560" w:lineRule="exact"/>
        <w:ind w:firstLine="640" w:firstLineChars="200"/>
        <w:jc w:val="both"/>
        <w:rPr>
          <w:rFonts w:ascii="仿宋_GB2312" w:hAnsi="仿宋" w:eastAsia="仿宋_GB2312"/>
          <w:sz w:val="32"/>
          <w:szCs w:val="32"/>
        </w:rPr>
      </w:pPr>
      <w:r>
        <w:rPr>
          <w:rFonts w:hint="eastAsia" w:ascii="仿宋_GB2312" w:hAnsi="仿宋" w:eastAsia="仿宋_GB2312"/>
          <w:sz w:val="32"/>
          <w:szCs w:val="32"/>
        </w:rPr>
        <w:t>2.博士研究生毕业证书和博士学位证书复印件，没有取得证书的需要提供通过博士学位论文答辩的有关证明材料。</w:t>
      </w:r>
    </w:p>
    <w:p>
      <w:pPr>
        <w:spacing w:after="0" w:line="560" w:lineRule="exact"/>
        <w:ind w:firstLine="640" w:firstLineChars="200"/>
        <w:jc w:val="both"/>
        <w:rPr>
          <w:rFonts w:ascii="仿宋_GB2312" w:hAnsi="仿宋" w:eastAsia="仿宋_GB2312"/>
          <w:sz w:val="32"/>
          <w:szCs w:val="32"/>
        </w:rPr>
      </w:pPr>
      <w:r>
        <w:rPr>
          <w:rFonts w:hint="eastAsia" w:ascii="仿宋_GB2312" w:hAnsi="仿宋" w:eastAsia="仿宋_GB2312"/>
          <w:sz w:val="32"/>
          <w:szCs w:val="32"/>
        </w:rPr>
        <w:t>3.博士论文或论文初稿、两篇高水平学术研究代表作。</w:t>
      </w:r>
    </w:p>
    <w:p>
      <w:pPr>
        <w:spacing w:after="0" w:line="560" w:lineRule="exact"/>
        <w:ind w:firstLine="640" w:firstLineChars="200"/>
        <w:jc w:val="both"/>
        <w:rPr>
          <w:rFonts w:ascii="仿宋_GB2312" w:hAnsi="仿宋" w:eastAsia="仿宋_GB2312"/>
          <w:sz w:val="32"/>
          <w:szCs w:val="32"/>
        </w:rPr>
      </w:pPr>
      <w:r>
        <w:rPr>
          <w:rFonts w:hint="eastAsia" w:ascii="仿宋_GB2312" w:hAnsi="仿宋" w:eastAsia="仿宋_GB2312"/>
          <w:sz w:val="32"/>
          <w:szCs w:val="32"/>
        </w:rPr>
        <w:t>4.相近学科两名博士生导师推荐信（其中一名为博士攻读期间的导师）。</w:t>
      </w:r>
    </w:p>
    <w:p>
      <w:pPr>
        <w:spacing w:after="0" w:line="560" w:lineRule="exact"/>
        <w:ind w:firstLine="640" w:firstLineChars="200"/>
        <w:jc w:val="both"/>
        <w:rPr>
          <w:rFonts w:ascii="仿宋_GB2312" w:hAnsi="仿宋" w:eastAsia="仿宋_GB2312"/>
          <w:sz w:val="32"/>
          <w:szCs w:val="32"/>
        </w:rPr>
      </w:pPr>
      <w:r>
        <w:rPr>
          <w:rFonts w:hint="eastAsia" w:ascii="仿宋_GB2312" w:hAnsi="仿宋" w:eastAsia="仿宋_GB2312"/>
          <w:sz w:val="32"/>
          <w:szCs w:val="32"/>
        </w:rPr>
        <w:t>5.留学回国博士须提交我驻外使（领）馆教育处（组）签署意见的《博士后申请表》、《中华人民共和国驻外使领馆教育处（组）推荐意见表》，或留学回国人员证明(均应对何时何校获博士学位有明确的说明)。</w:t>
      </w:r>
    </w:p>
    <w:p>
      <w:pPr>
        <w:spacing w:after="0" w:line="560" w:lineRule="exact"/>
        <w:ind w:firstLine="640" w:firstLineChars="200"/>
        <w:jc w:val="both"/>
        <w:rPr>
          <w:rFonts w:ascii="仿宋_GB2312" w:hAnsi="仿宋" w:eastAsia="仿宋_GB2312"/>
          <w:sz w:val="32"/>
          <w:szCs w:val="32"/>
        </w:rPr>
      </w:pPr>
      <w:r>
        <w:rPr>
          <w:rFonts w:hint="eastAsia" w:ascii="仿宋_GB2312" w:hAnsi="仿宋" w:eastAsia="仿宋_GB2312"/>
          <w:sz w:val="32"/>
          <w:szCs w:val="32"/>
        </w:rPr>
        <w:t>6.课题研究计划书（3000-5000字）。</w:t>
      </w:r>
    </w:p>
    <w:p>
      <w:pPr>
        <w:spacing w:after="0" w:line="560" w:lineRule="exact"/>
        <w:ind w:firstLine="640" w:firstLineChars="200"/>
        <w:jc w:val="both"/>
        <w:rPr>
          <w:rFonts w:ascii="仿宋_GB2312" w:hAnsi="仿宋" w:eastAsia="仿宋_GB2312"/>
          <w:sz w:val="32"/>
          <w:szCs w:val="32"/>
        </w:rPr>
      </w:pPr>
      <w:r>
        <w:rPr>
          <w:rFonts w:hint="eastAsia" w:ascii="仿宋_GB2312" w:hAnsi="仿宋" w:eastAsia="仿宋_GB2312"/>
          <w:sz w:val="32"/>
          <w:szCs w:val="32"/>
        </w:rPr>
        <w:t>7.个人简历及身份证复印件。</w:t>
      </w:r>
    </w:p>
    <w:p>
      <w:pPr>
        <w:spacing w:after="0" w:line="560" w:lineRule="exact"/>
        <w:ind w:left="319" w:leftChars="152" w:firstLine="320" w:firstLineChars="100"/>
        <w:jc w:val="both"/>
        <w:rPr>
          <w:rFonts w:ascii="仿宋_GB2312" w:hAnsi="仿宋" w:eastAsia="仿宋_GB2312"/>
          <w:sz w:val="32"/>
          <w:szCs w:val="32"/>
        </w:rPr>
      </w:pPr>
      <w:r>
        <w:rPr>
          <w:rFonts w:hint="eastAsia" w:ascii="仿宋_GB2312" w:hAnsi="仿宋" w:eastAsia="仿宋_GB2312"/>
          <w:sz w:val="32"/>
          <w:szCs w:val="32"/>
        </w:rPr>
        <w:t>上述材料需先将电子文档发至邮箱809815062@qq.com</w:t>
      </w:r>
      <w:r>
        <w:rPr>
          <w:rFonts w:hint="eastAsia" w:asciiTheme="majorEastAsia" w:hAnsiTheme="majorEastAsia" w:eastAsiaTheme="majorEastAsia" w:cstheme="majorEastAsia"/>
          <w:kern w:val="0"/>
          <w:sz w:val="28"/>
          <w:szCs w:val="28"/>
          <w:lang w:val="en-US" w:eastAsia="zh-CN"/>
        </w:rPr>
        <w:t>抄送xnykzp@126.com （邮件标题：高层次人才网+姓名+专业+学历+毕业院校）</w:t>
      </w:r>
      <w:r>
        <w:rPr>
          <w:rFonts w:hint="eastAsia" w:asciiTheme="majorEastAsia" w:hAnsiTheme="majorEastAsia" w:eastAsiaTheme="majorEastAsia" w:cstheme="majorEastAsia"/>
          <w:kern w:val="0"/>
          <w:sz w:val="28"/>
          <w:szCs w:val="28"/>
        </w:rPr>
        <w:t>　　</w:t>
      </w:r>
      <w:bookmarkStart w:id="0" w:name="_GoBack"/>
      <w:bookmarkEnd w:id="0"/>
      <w:r>
        <w:rPr>
          <w:rFonts w:hint="eastAsia" w:ascii="仿宋_GB2312" w:hAnsi="仿宋" w:eastAsia="仿宋_GB2312"/>
          <w:sz w:val="32"/>
          <w:szCs w:val="32"/>
        </w:rPr>
        <w:t>（纸质材料面试时提交）。</w:t>
      </w:r>
    </w:p>
    <w:p>
      <w:pPr>
        <w:spacing w:after="0" w:line="560" w:lineRule="exact"/>
        <w:ind w:firstLine="640" w:firstLineChars="200"/>
        <w:jc w:val="both"/>
        <w:rPr>
          <w:rFonts w:ascii="仿宋_GB2312" w:hAnsi="仿宋" w:eastAsia="仿宋_GB2312"/>
          <w:sz w:val="32"/>
          <w:szCs w:val="32"/>
        </w:rPr>
      </w:pPr>
      <w:r>
        <w:rPr>
          <w:rFonts w:hint="eastAsia" w:ascii="仿宋_GB2312" w:hAnsi="仿宋" w:eastAsia="仿宋_GB2312"/>
          <w:sz w:val="32"/>
          <w:szCs w:val="32"/>
        </w:rPr>
        <w:t>本站将坚持公开、公平、公正的招收原则，对报名材料进行筛选，初审合格者经面试、考核后择优录取。报名材料恕不退还。</w:t>
      </w:r>
    </w:p>
    <w:p>
      <w:pPr>
        <w:spacing w:after="0" w:line="560" w:lineRule="exact"/>
        <w:ind w:firstLine="640" w:firstLineChars="200"/>
        <w:jc w:val="both"/>
        <w:rPr>
          <w:rFonts w:ascii="黑体" w:hAnsi="黑体" w:eastAsia="黑体"/>
          <w:sz w:val="32"/>
          <w:szCs w:val="32"/>
        </w:rPr>
      </w:pPr>
      <w:r>
        <w:rPr>
          <w:rFonts w:hint="eastAsia" w:ascii="黑体" w:hAnsi="黑体" w:eastAsia="黑体"/>
          <w:sz w:val="32"/>
          <w:szCs w:val="32"/>
        </w:rPr>
        <w:t>四、相关待遇</w:t>
      </w:r>
    </w:p>
    <w:p>
      <w:pPr>
        <w:spacing w:after="0" w:line="560" w:lineRule="exact"/>
        <w:ind w:firstLine="640" w:firstLineChars="200"/>
        <w:jc w:val="both"/>
        <w:rPr>
          <w:rFonts w:ascii="仿宋_GB2312" w:hAnsi="仿宋" w:eastAsia="仿宋_GB2312"/>
          <w:bCs/>
          <w:sz w:val="32"/>
          <w:szCs w:val="32"/>
        </w:rPr>
      </w:pPr>
      <w:r>
        <w:rPr>
          <w:rFonts w:hint="eastAsia" w:ascii="仿宋_GB2312" w:hAnsi="仿宋" w:eastAsia="仿宋_GB2312"/>
          <w:bCs/>
          <w:sz w:val="32"/>
          <w:szCs w:val="32"/>
        </w:rPr>
        <w:t>凡被录用进站工作者，在站期间享受以下待遇：</w:t>
      </w:r>
    </w:p>
    <w:p>
      <w:pPr>
        <w:spacing w:after="0" w:line="560" w:lineRule="exact"/>
        <w:ind w:firstLine="640" w:firstLineChars="200"/>
        <w:jc w:val="both"/>
        <w:rPr>
          <w:rFonts w:ascii="仿宋_GB2312" w:hAnsi="仿宋" w:eastAsia="仿宋_GB2312"/>
          <w:bCs/>
          <w:sz w:val="32"/>
          <w:szCs w:val="32"/>
        </w:rPr>
      </w:pPr>
      <w:r>
        <w:rPr>
          <w:rFonts w:hint="eastAsia" w:ascii="仿宋_GB2312" w:hAnsi="仿宋" w:eastAsia="仿宋_GB2312"/>
          <w:bCs/>
          <w:sz w:val="32"/>
          <w:szCs w:val="32"/>
        </w:rPr>
        <w:t>1.我校专业技术六级岗位基本工资和绩效工资。</w:t>
      </w:r>
    </w:p>
    <w:p>
      <w:pPr>
        <w:spacing w:after="0" w:line="560" w:lineRule="exact"/>
        <w:ind w:firstLine="640" w:firstLineChars="200"/>
        <w:jc w:val="both"/>
        <w:rPr>
          <w:rFonts w:ascii="仿宋_GB2312" w:hAnsi="仿宋" w:eastAsia="仿宋_GB2312"/>
          <w:bCs/>
          <w:sz w:val="32"/>
          <w:szCs w:val="32"/>
        </w:rPr>
      </w:pPr>
      <w:r>
        <w:rPr>
          <w:rFonts w:hint="eastAsia" w:ascii="仿宋_GB2312" w:hAnsi="仿宋" w:eastAsia="仿宋_GB2312"/>
          <w:bCs/>
          <w:sz w:val="32"/>
          <w:szCs w:val="32"/>
        </w:rPr>
        <w:t>2.租房补贴1500元/月。</w:t>
      </w:r>
    </w:p>
    <w:p>
      <w:pPr>
        <w:spacing w:after="0" w:line="560" w:lineRule="exact"/>
        <w:ind w:firstLine="640" w:firstLineChars="200"/>
        <w:jc w:val="both"/>
        <w:rPr>
          <w:rFonts w:ascii="仿宋_GB2312" w:hAnsi="仿宋" w:eastAsia="仿宋_GB2312"/>
          <w:bCs/>
          <w:sz w:val="32"/>
          <w:szCs w:val="32"/>
        </w:rPr>
      </w:pPr>
      <w:r>
        <w:rPr>
          <w:rFonts w:hint="eastAsia" w:ascii="仿宋_GB2312" w:hAnsi="仿宋" w:eastAsia="仿宋_GB2312"/>
          <w:bCs/>
          <w:sz w:val="32"/>
          <w:szCs w:val="32"/>
        </w:rPr>
        <w:t>3.购买“五险”（包括养老保险、医疗保险、失业保险、工伤保险、生育保险</w:t>
      </w:r>
      <w:r>
        <w:rPr>
          <w:rFonts w:hint="eastAsia" w:ascii="仿宋_GB2312" w:hAnsi="仿宋" w:eastAsia="仿宋_GB2312"/>
          <w:bCs/>
          <w:sz w:val="32"/>
          <w:szCs w:val="32"/>
          <w:lang w:eastAsia="zh-CN"/>
        </w:rPr>
        <w:t>）</w:t>
      </w:r>
      <w:r>
        <w:rPr>
          <w:rFonts w:hint="eastAsia" w:ascii="仿宋_GB2312" w:hAnsi="仿宋" w:eastAsia="仿宋_GB2312"/>
          <w:bCs/>
          <w:sz w:val="32"/>
          <w:szCs w:val="32"/>
        </w:rPr>
        <w:t>。</w:t>
      </w:r>
    </w:p>
    <w:p>
      <w:pPr>
        <w:spacing w:after="0" w:line="560" w:lineRule="exact"/>
        <w:ind w:firstLine="640" w:firstLineChars="200"/>
        <w:jc w:val="both"/>
        <w:rPr>
          <w:rFonts w:ascii="仿宋_GB2312" w:hAnsi="仿宋" w:eastAsia="仿宋_GB2312"/>
          <w:bCs/>
          <w:sz w:val="32"/>
          <w:szCs w:val="32"/>
        </w:rPr>
      </w:pPr>
      <w:r>
        <w:rPr>
          <w:rFonts w:hint="eastAsia" w:ascii="仿宋_GB2312" w:hAnsi="仿宋" w:eastAsia="仿宋_GB2312"/>
          <w:bCs/>
          <w:sz w:val="32"/>
          <w:szCs w:val="32"/>
        </w:rPr>
        <w:t>4.一次性给予8万元科研启动金。</w:t>
      </w:r>
    </w:p>
    <w:p>
      <w:pPr>
        <w:spacing w:after="0" w:line="560" w:lineRule="exact"/>
        <w:ind w:firstLine="640" w:firstLineChars="200"/>
        <w:jc w:val="both"/>
        <w:rPr>
          <w:rFonts w:ascii="黑体" w:hAnsi="黑体" w:eastAsia="黑体"/>
          <w:sz w:val="32"/>
          <w:szCs w:val="32"/>
        </w:rPr>
      </w:pPr>
      <w:r>
        <w:rPr>
          <w:rFonts w:hint="eastAsia" w:ascii="黑体" w:hAnsi="黑体" w:eastAsia="黑体"/>
          <w:sz w:val="32"/>
          <w:szCs w:val="32"/>
        </w:rPr>
        <w:t>五、联系方式</w:t>
      </w:r>
    </w:p>
    <w:p>
      <w:pPr>
        <w:spacing w:after="0" w:line="560" w:lineRule="exact"/>
        <w:ind w:firstLine="640" w:firstLineChars="200"/>
        <w:jc w:val="both"/>
        <w:rPr>
          <w:rFonts w:ascii="仿宋_GB2312" w:hAnsi="仿宋" w:eastAsia="仿宋_GB2312"/>
          <w:sz w:val="32"/>
          <w:szCs w:val="32"/>
        </w:rPr>
      </w:pPr>
      <w:r>
        <w:rPr>
          <w:rFonts w:hint="eastAsia" w:ascii="仿宋_GB2312" w:hAnsi="仿宋" w:eastAsia="仿宋_GB2312"/>
          <w:sz w:val="32"/>
          <w:szCs w:val="32"/>
        </w:rPr>
        <w:t>联系部门：西南医科大学人事处</w:t>
      </w:r>
    </w:p>
    <w:p>
      <w:pPr>
        <w:spacing w:after="0" w:line="560" w:lineRule="exact"/>
        <w:ind w:firstLine="640" w:firstLineChars="200"/>
        <w:jc w:val="both"/>
        <w:rPr>
          <w:rFonts w:ascii="仿宋_GB2312" w:hAnsi="仿宋" w:eastAsia="仿宋_GB2312"/>
          <w:sz w:val="32"/>
          <w:szCs w:val="32"/>
        </w:rPr>
      </w:pPr>
      <w:r>
        <w:rPr>
          <w:rFonts w:hint="eastAsia" w:ascii="仿宋_GB2312" w:hAnsi="仿宋" w:eastAsia="仿宋_GB2312"/>
          <w:sz w:val="32"/>
          <w:szCs w:val="32"/>
        </w:rPr>
        <w:t>地    址：四川省泸州市龙马潭区香林路1段1号西南医科大学城北校区德诚楼七楼（646000）</w:t>
      </w:r>
    </w:p>
    <w:p>
      <w:pPr>
        <w:spacing w:after="0" w:line="560" w:lineRule="exact"/>
        <w:ind w:firstLine="640" w:firstLineChars="200"/>
        <w:jc w:val="both"/>
        <w:rPr>
          <w:rFonts w:hint="eastAsia" w:ascii="仿宋_GB2312" w:hAnsi="仿宋" w:eastAsia="仿宋_GB2312"/>
          <w:sz w:val="32"/>
          <w:szCs w:val="32"/>
          <w:lang w:val="en-US" w:eastAsia="zh-CN"/>
        </w:rPr>
      </w:pPr>
      <w:r>
        <w:rPr>
          <w:rFonts w:hint="eastAsia" w:ascii="仿宋_GB2312" w:hAnsi="仿宋" w:eastAsia="仿宋_GB2312"/>
          <w:sz w:val="32"/>
          <w:szCs w:val="32"/>
        </w:rPr>
        <w:t>联 系 人：杨  潇</w:t>
      </w:r>
      <w:r>
        <w:rPr>
          <w:rFonts w:ascii="仿宋_GB2312" w:hAnsi="仿宋" w:eastAsia="仿宋_GB2312"/>
          <w:sz w:val="32"/>
          <w:szCs w:val="32"/>
        </w:rPr>
        <w:t xml:space="preserve">  </w:t>
      </w:r>
      <w:r>
        <w:rPr>
          <w:rFonts w:hint="eastAsia" w:ascii="仿宋_GB2312" w:hAnsi="仿宋" w:eastAsia="仿宋_GB2312"/>
          <w:sz w:val="32"/>
          <w:szCs w:val="32"/>
          <w:lang w:eastAsia="zh-CN"/>
        </w:rPr>
        <w:t>王</w:t>
      </w:r>
      <w:r>
        <w:rPr>
          <w:rFonts w:hint="eastAsia" w:ascii="仿宋_GB2312" w:hAnsi="仿宋" w:eastAsia="仿宋_GB2312"/>
          <w:sz w:val="32"/>
          <w:szCs w:val="32"/>
          <w:lang w:val="en-US" w:eastAsia="zh-CN"/>
        </w:rPr>
        <w:t xml:space="preserve">  </w:t>
      </w:r>
      <w:r>
        <w:rPr>
          <w:rFonts w:hint="eastAsia" w:ascii="仿宋_GB2312" w:hAnsi="仿宋" w:eastAsia="仿宋_GB2312"/>
          <w:sz w:val="32"/>
          <w:szCs w:val="32"/>
          <w:lang w:eastAsia="zh-CN"/>
        </w:rPr>
        <w:t>冉</w:t>
      </w:r>
    </w:p>
    <w:p>
      <w:pPr>
        <w:spacing w:after="0" w:line="560" w:lineRule="exact"/>
        <w:ind w:firstLine="640" w:firstLineChars="200"/>
        <w:jc w:val="both"/>
        <w:rPr>
          <w:rFonts w:ascii="仿宋_GB2312" w:hAnsi="仿宋" w:eastAsia="仿宋_GB2312"/>
          <w:sz w:val="32"/>
          <w:szCs w:val="32"/>
        </w:rPr>
      </w:pPr>
      <w:r>
        <w:rPr>
          <w:rFonts w:hint="eastAsia" w:ascii="仿宋_GB2312" w:hAnsi="仿宋" w:eastAsia="仿宋_GB2312"/>
          <w:sz w:val="32"/>
          <w:szCs w:val="32"/>
        </w:rPr>
        <w:t xml:space="preserve">电    话：0830-3162577    </w:t>
      </w:r>
    </w:p>
    <w:p>
      <w:pPr>
        <w:spacing w:line="540" w:lineRule="exact"/>
        <w:rPr>
          <w:rFonts w:hint="eastAsia" w:ascii="宋体" w:hAnsi="宋体" w:cs="宋体"/>
          <w:color w:val="000000"/>
          <w:kern w:val="0"/>
          <w:sz w:val="28"/>
          <w:szCs w:val="28"/>
        </w:rPr>
      </w:pPr>
      <w:r>
        <w:rPr>
          <w:rFonts w:hint="eastAsia" w:asciiTheme="majorEastAsia" w:hAnsiTheme="majorEastAsia" w:eastAsiaTheme="majorEastAsia" w:cstheme="majorEastAsia"/>
          <w:b/>
          <w:bCs/>
          <w:sz w:val="28"/>
          <w:szCs w:val="28"/>
          <w:lang w:val="en-US" w:eastAsia="zh-CN"/>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ź�">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方正小标宋简体">
    <w:altName w:val="方正舒体"/>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04B62A"/>
    <w:multiLevelType w:val="singleLevel"/>
    <w:tmpl w:val="7E04B62A"/>
    <w:lvl w:ilvl="0" w:tentative="0">
      <w:start w:val="5"/>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C99"/>
    <w:rsid w:val="0007413F"/>
    <w:rsid w:val="000E3AC3"/>
    <w:rsid w:val="00107AA3"/>
    <w:rsid w:val="00126024"/>
    <w:rsid w:val="001A4F90"/>
    <w:rsid w:val="00242B89"/>
    <w:rsid w:val="00287E5F"/>
    <w:rsid w:val="00320C99"/>
    <w:rsid w:val="00366EA7"/>
    <w:rsid w:val="003E5DCA"/>
    <w:rsid w:val="00405985"/>
    <w:rsid w:val="00462FAE"/>
    <w:rsid w:val="004F04D0"/>
    <w:rsid w:val="005C6121"/>
    <w:rsid w:val="0060271A"/>
    <w:rsid w:val="006453D3"/>
    <w:rsid w:val="00664D3C"/>
    <w:rsid w:val="00685165"/>
    <w:rsid w:val="006D218B"/>
    <w:rsid w:val="006E74B5"/>
    <w:rsid w:val="007443CC"/>
    <w:rsid w:val="007C1356"/>
    <w:rsid w:val="007C14C0"/>
    <w:rsid w:val="007F5BA6"/>
    <w:rsid w:val="00850326"/>
    <w:rsid w:val="00880C37"/>
    <w:rsid w:val="00896694"/>
    <w:rsid w:val="00955DBC"/>
    <w:rsid w:val="009C1DF4"/>
    <w:rsid w:val="009E53FA"/>
    <w:rsid w:val="00A313BD"/>
    <w:rsid w:val="00A40357"/>
    <w:rsid w:val="00B46550"/>
    <w:rsid w:val="00B743DB"/>
    <w:rsid w:val="00BA70BC"/>
    <w:rsid w:val="00BD2DC2"/>
    <w:rsid w:val="00C71B8C"/>
    <w:rsid w:val="00CD7F75"/>
    <w:rsid w:val="00D85792"/>
    <w:rsid w:val="00DE6092"/>
    <w:rsid w:val="00E0046A"/>
    <w:rsid w:val="00E038CE"/>
    <w:rsid w:val="00E33400"/>
    <w:rsid w:val="00EB303E"/>
    <w:rsid w:val="00EE1995"/>
    <w:rsid w:val="00EE2556"/>
    <w:rsid w:val="00F17983"/>
    <w:rsid w:val="00F957BA"/>
    <w:rsid w:val="00FB4A4B"/>
    <w:rsid w:val="022079CC"/>
    <w:rsid w:val="02B73948"/>
    <w:rsid w:val="031A261D"/>
    <w:rsid w:val="033E2796"/>
    <w:rsid w:val="045C0AE9"/>
    <w:rsid w:val="04966823"/>
    <w:rsid w:val="05C63620"/>
    <w:rsid w:val="05E2163C"/>
    <w:rsid w:val="06D61CCD"/>
    <w:rsid w:val="071C42A1"/>
    <w:rsid w:val="077B60D6"/>
    <w:rsid w:val="078A52D3"/>
    <w:rsid w:val="07A7664E"/>
    <w:rsid w:val="09396E54"/>
    <w:rsid w:val="0C8C796B"/>
    <w:rsid w:val="0D2B7093"/>
    <w:rsid w:val="0D314526"/>
    <w:rsid w:val="0DD06015"/>
    <w:rsid w:val="0E694656"/>
    <w:rsid w:val="12A8789D"/>
    <w:rsid w:val="15D82B6A"/>
    <w:rsid w:val="167E2B99"/>
    <w:rsid w:val="16D9613C"/>
    <w:rsid w:val="178C7CAF"/>
    <w:rsid w:val="17DC0DD0"/>
    <w:rsid w:val="1A26159D"/>
    <w:rsid w:val="1F144F86"/>
    <w:rsid w:val="22F66E20"/>
    <w:rsid w:val="24396C3D"/>
    <w:rsid w:val="252A6B27"/>
    <w:rsid w:val="2688085F"/>
    <w:rsid w:val="28507EB6"/>
    <w:rsid w:val="28534109"/>
    <w:rsid w:val="29547DA0"/>
    <w:rsid w:val="2B2A6338"/>
    <w:rsid w:val="2D054A13"/>
    <w:rsid w:val="2D214C4C"/>
    <w:rsid w:val="2DFD567C"/>
    <w:rsid w:val="316F136C"/>
    <w:rsid w:val="32D315BE"/>
    <w:rsid w:val="34753B32"/>
    <w:rsid w:val="3477366C"/>
    <w:rsid w:val="35502D84"/>
    <w:rsid w:val="36AF749B"/>
    <w:rsid w:val="37F12939"/>
    <w:rsid w:val="3AF6158A"/>
    <w:rsid w:val="3D137103"/>
    <w:rsid w:val="3E962AEB"/>
    <w:rsid w:val="403937A0"/>
    <w:rsid w:val="415E0CE8"/>
    <w:rsid w:val="41B20C21"/>
    <w:rsid w:val="44C0302A"/>
    <w:rsid w:val="459B6179"/>
    <w:rsid w:val="467A4BD3"/>
    <w:rsid w:val="4D1B75F6"/>
    <w:rsid w:val="4D6550EB"/>
    <w:rsid w:val="4DC0378D"/>
    <w:rsid w:val="4F8928DD"/>
    <w:rsid w:val="527D21B2"/>
    <w:rsid w:val="55F3040B"/>
    <w:rsid w:val="568D59D9"/>
    <w:rsid w:val="583033FF"/>
    <w:rsid w:val="58406A4F"/>
    <w:rsid w:val="58D20A09"/>
    <w:rsid w:val="59A35320"/>
    <w:rsid w:val="59C6133E"/>
    <w:rsid w:val="5AE17903"/>
    <w:rsid w:val="5AF43AF5"/>
    <w:rsid w:val="5C1919AD"/>
    <w:rsid w:val="5CEE65D4"/>
    <w:rsid w:val="5D38490D"/>
    <w:rsid w:val="6320322B"/>
    <w:rsid w:val="649A3ED0"/>
    <w:rsid w:val="67996655"/>
    <w:rsid w:val="6ABB28BC"/>
    <w:rsid w:val="6AD93AB1"/>
    <w:rsid w:val="6ED807ED"/>
    <w:rsid w:val="71F87EF0"/>
    <w:rsid w:val="759629BA"/>
    <w:rsid w:val="764D1B32"/>
    <w:rsid w:val="765749F9"/>
    <w:rsid w:val="770359BE"/>
    <w:rsid w:val="7B5B0073"/>
    <w:rsid w:val="7D1F6F6E"/>
    <w:rsid w:val="7D2F6177"/>
    <w:rsid w:val="7F5875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unhideWhenUsed/>
    <w:qFormat/>
    <w:uiPriority w:val="1"/>
  </w:style>
  <w:style w:type="table" w:default="1" w:styleId="5">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12"/>
    <w:qFormat/>
    <w:uiPriority w:val="0"/>
    <w:pPr>
      <w:tabs>
        <w:tab w:val="center" w:pos="4153"/>
        <w:tab w:val="right" w:pos="8306"/>
      </w:tabs>
      <w:snapToGrid w:val="0"/>
      <w:jc w:val="left"/>
    </w:pPr>
    <w:rPr>
      <w:sz w:val="18"/>
      <w:szCs w:val="18"/>
    </w:rPr>
  </w:style>
  <w:style w:type="paragraph" w:styleId="3">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99"/>
    <w:pPr>
      <w:spacing w:beforeAutospacing="1" w:afterAutospacing="1"/>
      <w:jc w:val="left"/>
    </w:pPr>
    <w:rPr>
      <w:rFonts w:cs="Times New Roman"/>
      <w:kern w:val="0"/>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Strong"/>
    <w:basedOn w:val="7"/>
    <w:qFormat/>
    <w:uiPriority w:val="22"/>
    <w:rPr>
      <w:b/>
      <w:bCs/>
    </w:rPr>
  </w:style>
  <w:style w:type="character" w:styleId="9">
    <w:name w:val="FollowedHyperlink"/>
    <w:basedOn w:val="7"/>
    <w:qFormat/>
    <w:uiPriority w:val="0"/>
    <w:rPr>
      <w:rFonts w:hint="eastAsia" w:ascii="宋体" w:hAnsi="宋体" w:eastAsia="宋体" w:cs="宋体"/>
      <w:color w:val="000000"/>
      <w:sz w:val="18"/>
      <w:szCs w:val="18"/>
      <w:u w:val="none"/>
    </w:rPr>
  </w:style>
  <w:style w:type="character" w:styleId="10">
    <w:name w:val="Hyperlink"/>
    <w:basedOn w:val="7"/>
    <w:qFormat/>
    <w:uiPriority w:val="0"/>
    <w:rPr>
      <w:color w:val="0000FF"/>
      <w:u w:val="single"/>
    </w:rPr>
  </w:style>
  <w:style w:type="character" w:customStyle="1" w:styleId="11">
    <w:name w:val="页眉 Char"/>
    <w:basedOn w:val="7"/>
    <w:link w:val="3"/>
    <w:qFormat/>
    <w:uiPriority w:val="0"/>
    <w:rPr>
      <w:rFonts w:asciiTheme="minorHAnsi" w:hAnsiTheme="minorHAnsi" w:cstheme="minorBidi"/>
      <w:kern w:val="2"/>
      <w:sz w:val="18"/>
      <w:szCs w:val="18"/>
    </w:rPr>
  </w:style>
  <w:style w:type="character" w:customStyle="1" w:styleId="12">
    <w:name w:val="页脚 Char"/>
    <w:basedOn w:val="7"/>
    <w:link w:val="2"/>
    <w:qFormat/>
    <w:uiPriority w:val="0"/>
    <w:rPr>
      <w:rFonts w:asciiTheme="minorHAnsi" w:hAnsiTheme="minorHAnsi" w:cstheme="minorBidi"/>
      <w:kern w:val="2"/>
      <w:sz w:val="18"/>
      <w:szCs w:val="18"/>
    </w:rPr>
  </w:style>
  <w:style w:type="paragraph" w:customStyle="1" w:styleId="13">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Pages>
  <Words>567</Words>
  <Characters>3233</Characters>
  <Lines>26</Lines>
  <Paragraphs>7</Paragraphs>
  <TotalTime>0</TotalTime>
  <ScaleCrop>false</ScaleCrop>
  <LinksUpToDate>false</LinksUpToDate>
  <CharactersWithSpaces>3793</CharactersWithSpaces>
  <Application>WPS Office_11.1.0.8567_F1E327BC-269C-435d-A152-05C5408002CA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qch</dc:creator>
  <cp:lastModifiedBy>木鱼</cp:lastModifiedBy>
  <cp:lastPrinted>2017-03-06T09:48:00Z</cp:lastPrinted>
  <dcterms:modified xsi:type="dcterms:W3CDTF">2019-04-09T06:44:59Z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